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2E58" w14:textId="62CA9223" w:rsidR="00E85BCF" w:rsidRPr="003241A9" w:rsidRDefault="003241A9" w:rsidP="00E85BCF">
      <w:pPr>
        <w:pStyle w:val="Rubrik3"/>
        <w:rPr>
          <w:rFonts w:ascii="Adobe Garamond Pro" w:hAnsi="Adobe Garamond Pro"/>
          <w:b/>
          <w:bCs/>
          <w:sz w:val="36"/>
          <w:szCs w:val="36"/>
        </w:rPr>
      </w:pPr>
      <w:r w:rsidRPr="003241A9">
        <w:rPr>
          <w:rFonts w:ascii="Adobe Garamond Pro" w:hAnsi="Adobe Garamond Pro"/>
          <w:color w:val="000000"/>
          <w:sz w:val="36"/>
          <w:szCs w:val="36"/>
          <w:shd w:val="clear" w:color="auto" w:fill="FFFFFF"/>
        </w:rPr>
        <w:t>Thesis Colloquium</w:t>
      </w:r>
      <w:r w:rsidRPr="003241A9">
        <w:rPr>
          <w:rFonts w:ascii="Adobe Garamond Pro" w:hAnsi="Adobe Garamond Pro"/>
          <w:b/>
          <w:bCs/>
          <w:sz w:val="36"/>
          <w:szCs w:val="36"/>
        </w:rPr>
        <w:t xml:space="preserve"> </w:t>
      </w:r>
      <w:r w:rsidR="00454497" w:rsidRPr="003241A9">
        <w:rPr>
          <w:rFonts w:ascii="Adobe Garamond Pro" w:hAnsi="Adobe Garamond Pro"/>
          <w:b/>
          <w:bCs/>
          <w:sz w:val="36"/>
          <w:szCs w:val="36"/>
        </w:rPr>
        <w:t>(TRVN</w:t>
      </w:r>
      <w:r w:rsidRPr="003241A9">
        <w:rPr>
          <w:rFonts w:ascii="Adobe Garamond Pro" w:hAnsi="Adobe Garamond Pro"/>
          <w:b/>
          <w:bCs/>
          <w:sz w:val="36"/>
          <w:szCs w:val="36"/>
        </w:rPr>
        <w:t>03</w:t>
      </w:r>
      <w:r w:rsidR="00E85BCF" w:rsidRPr="003241A9">
        <w:rPr>
          <w:rFonts w:ascii="Adobe Garamond Pro" w:hAnsi="Adobe Garamond Pro"/>
          <w:b/>
          <w:bCs/>
          <w:sz w:val="36"/>
          <w:szCs w:val="36"/>
        </w:rPr>
        <w:t>)</w:t>
      </w:r>
    </w:p>
    <w:p w14:paraId="5C8CEB90" w14:textId="77777777" w:rsidR="003F0837" w:rsidRDefault="003F0837" w:rsidP="003F0837">
      <w:pPr>
        <w:rPr>
          <w:lang w:val="en-GB"/>
        </w:rPr>
      </w:pPr>
    </w:p>
    <w:p w14:paraId="0D22F0EA" w14:textId="77777777" w:rsidR="00C06BF0" w:rsidRPr="00454497" w:rsidRDefault="00C06BF0" w:rsidP="003F0837">
      <w:pPr>
        <w:rPr>
          <w:lang w:val="en-GB"/>
        </w:rPr>
      </w:pPr>
    </w:p>
    <w:p w14:paraId="251DD102" w14:textId="16C5AE4A" w:rsidR="00087B02" w:rsidRPr="00C67B09" w:rsidRDefault="00982C4A" w:rsidP="00771215">
      <w:pPr>
        <w:pStyle w:val="Brdtextmedindrag"/>
        <w:ind w:firstLine="0"/>
        <w:rPr>
          <w:b/>
        </w:rPr>
      </w:pPr>
      <w:r w:rsidRPr="00C67B09">
        <w:rPr>
          <w:b/>
        </w:rPr>
        <w:t>Course content</w:t>
      </w:r>
    </w:p>
    <w:p w14:paraId="17ED9C68" w14:textId="77777777" w:rsidR="003241A9" w:rsidRDefault="003241A9" w:rsidP="00454497">
      <w:pPr>
        <w:pStyle w:val="Brdtextmedindrag"/>
        <w:ind w:firstLine="0"/>
      </w:pPr>
    </w:p>
    <w:p w14:paraId="025255C8" w14:textId="54538369" w:rsidR="00982C4A" w:rsidRDefault="00982C4A" w:rsidP="003241A9">
      <w:pPr>
        <w:pStyle w:val="Brdtextmedindrag"/>
        <w:ind w:firstLine="0"/>
      </w:pPr>
      <w:r>
        <w:t xml:space="preserve">The focus of this course is </w:t>
      </w:r>
      <w:r w:rsidR="003241A9">
        <w:t>the art of writing an academic thesis and preparing the student for the upcoming master’s thesis</w:t>
      </w:r>
      <w:r>
        <w:t xml:space="preserve">. The course covers </w:t>
      </w:r>
      <w:r w:rsidR="003241A9">
        <w:t>discussions on theory, method</w:t>
      </w:r>
      <w:r w:rsidR="00E64F90">
        <w:t>,</w:t>
      </w:r>
      <w:r w:rsidR="003241A9">
        <w:t xml:space="preserve"> previous research, research questions and problem as well as an introduction into issues of style and references to ancient source material</w:t>
      </w:r>
      <w:r w:rsidR="00F56B7A">
        <w:t xml:space="preserve"> that will directly prepare the student for future thesis-writing.</w:t>
      </w:r>
      <w:r w:rsidR="00E64F90">
        <w:t xml:space="preserve"> </w:t>
      </w:r>
      <w:r w:rsidR="00F56B7A">
        <w:t xml:space="preserve">Beside attending to the structure and format of </w:t>
      </w:r>
      <w:r w:rsidR="003241A9">
        <w:t>previous</w:t>
      </w:r>
      <w:r w:rsidR="00F56B7A">
        <w:t>ly written</w:t>
      </w:r>
      <w:r w:rsidR="003241A9">
        <w:t xml:space="preserve"> theses and dissertations,</w:t>
      </w:r>
      <w:r w:rsidR="00F56B7A">
        <w:t xml:space="preserve"> the student will</w:t>
      </w:r>
      <w:r w:rsidR="003241A9">
        <w:t xml:space="preserve"> conduct an independent survey of key </w:t>
      </w:r>
      <w:r w:rsidR="001C7BAE">
        <w:t>literature</w:t>
      </w:r>
      <w:r w:rsidR="003241A9">
        <w:t xml:space="preserve"> </w:t>
      </w:r>
      <w:r w:rsidR="00F56B7A">
        <w:t>pertaining to the</w:t>
      </w:r>
      <w:r w:rsidR="003241A9">
        <w:t xml:space="preserve"> topic to be explored in a future thesis, </w:t>
      </w:r>
      <w:r w:rsidR="00F56B7A">
        <w:t>and plan an introductory chapter containing method, theory, previous research and problem formulation.</w:t>
      </w:r>
      <w:r w:rsidR="00983ED1">
        <w:t xml:space="preserve"> </w:t>
      </w:r>
    </w:p>
    <w:p w14:paraId="34C34485" w14:textId="77777777" w:rsidR="00087B02" w:rsidRDefault="00087B02" w:rsidP="00771215">
      <w:pPr>
        <w:pStyle w:val="Brdtextmedindrag"/>
        <w:ind w:firstLine="0"/>
      </w:pPr>
    </w:p>
    <w:p w14:paraId="22DFE25B" w14:textId="77777777" w:rsidR="00087B02" w:rsidRPr="00C67B09" w:rsidRDefault="00087B02" w:rsidP="00087B02">
      <w:pPr>
        <w:pStyle w:val="Brdtextmedindrag"/>
        <w:ind w:firstLine="0"/>
        <w:rPr>
          <w:b/>
        </w:rPr>
      </w:pPr>
      <w:r w:rsidRPr="00C67B09">
        <w:rPr>
          <w:b/>
        </w:rPr>
        <w:t>Time Period</w:t>
      </w:r>
    </w:p>
    <w:p w14:paraId="01FB8A8A" w14:textId="08679372" w:rsidR="00087B02" w:rsidRDefault="00867A7A" w:rsidP="00087B02">
      <w:pPr>
        <w:pStyle w:val="Brdtextmedindrag"/>
        <w:ind w:firstLine="0"/>
      </w:pPr>
      <w:r>
        <w:t xml:space="preserve">E-learning </w:t>
      </w:r>
      <w:r w:rsidR="004A1E78">
        <w:t xml:space="preserve">week </w:t>
      </w:r>
      <w:r w:rsidR="00AA02CF" w:rsidRPr="00A17D2E">
        <w:t>4</w:t>
      </w:r>
      <w:r w:rsidR="00546C78">
        <w:t>2</w:t>
      </w:r>
      <w:r w:rsidR="00C8661C">
        <w:t xml:space="preserve"> (20</w:t>
      </w:r>
      <w:r w:rsidR="00CA126B">
        <w:t>2</w:t>
      </w:r>
      <w:r w:rsidR="00D810F7">
        <w:t>4</w:t>
      </w:r>
      <w:r w:rsidR="00C8661C">
        <w:t>)</w:t>
      </w:r>
      <w:r w:rsidR="003925FC">
        <w:t xml:space="preserve"> - week </w:t>
      </w:r>
      <w:r w:rsidR="00397126">
        <w:t>2</w:t>
      </w:r>
      <w:r w:rsidR="00C8661C">
        <w:t xml:space="preserve"> (202</w:t>
      </w:r>
      <w:r w:rsidR="00D810F7">
        <w:t>5</w:t>
      </w:r>
      <w:r w:rsidR="00C8661C">
        <w:t>)</w:t>
      </w:r>
    </w:p>
    <w:p w14:paraId="4156A4A0" w14:textId="77777777" w:rsidR="00067243" w:rsidRDefault="00067243" w:rsidP="00087B02">
      <w:pPr>
        <w:pStyle w:val="Brdtextmedindrag"/>
        <w:ind w:firstLine="0"/>
      </w:pPr>
    </w:p>
    <w:p w14:paraId="0E83A5F7" w14:textId="7742CB9F" w:rsidR="00067243" w:rsidRPr="00C06BF0" w:rsidRDefault="00F24422" w:rsidP="00067243">
      <w:pPr>
        <w:pStyle w:val="Brdtextmedindrag"/>
        <w:ind w:firstLine="0"/>
        <w:rPr>
          <w:b/>
          <w:lang w:val="en-GB"/>
        </w:rPr>
      </w:pPr>
      <w:r w:rsidRPr="00C06BF0">
        <w:rPr>
          <w:b/>
          <w:lang w:val="en-GB"/>
        </w:rPr>
        <w:t>Instructors and I</w:t>
      </w:r>
      <w:r w:rsidR="00067243" w:rsidRPr="00C06BF0">
        <w:rPr>
          <w:b/>
          <w:lang w:val="en-GB"/>
        </w:rPr>
        <w:t>nstitution</w:t>
      </w:r>
    </w:p>
    <w:p w14:paraId="11F9C2B5" w14:textId="5C5FD4FF" w:rsidR="00067243" w:rsidRPr="00D0221B" w:rsidRDefault="00D810F7" w:rsidP="00067243">
      <w:pPr>
        <w:pStyle w:val="Brdtextmedindrag"/>
        <w:ind w:firstLine="0"/>
      </w:pPr>
      <w:r w:rsidRPr="00D0221B">
        <w:t>Katarina Pålsson</w:t>
      </w:r>
      <w:r w:rsidR="00067243" w:rsidRPr="00D0221B">
        <w:t xml:space="preserve"> (</w:t>
      </w:r>
      <w:r w:rsidRPr="00D0221B">
        <w:t>katarina.palsson</w:t>
      </w:r>
      <w:r w:rsidR="003C656E" w:rsidRPr="00D0221B">
        <w:t>@ctr.lu.se)</w:t>
      </w:r>
    </w:p>
    <w:p w14:paraId="45B5F885" w14:textId="3A5CC696" w:rsidR="00D810F7" w:rsidRPr="00D0221B" w:rsidRDefault="003241A9" w:rsidP="00067243">
      <w:pPr>
        <w:pStyle w:val="Brdtextmedindrag"/>
        <w:ind w:firstLine="0"/>
      </w:pPr>
      <w:r w:rsidRPr="00D0221B">
        <w:t>Joel Kuhlin</w:t>
      </w:r>
      <w:r w:rsidR="00D810F7" w:rsidRPr="00D0221B">
        <w:t xml:space="preserve"> (</w:t>
      </w:r>
      <w:r w:rsidRPr="00D0221B">
        <w:t>joel</w:t>
      </w:r>
      <w:r w:rsidR="00D810F7" w:rsidRPr="00D0221B">
        <w:t>.</w:t>
      </w:r>
      <w:r w:rsidRPr="00D0221B">
        <w:t>kuhlin</w:t>
      </w:r>
      <w:r w:rsidR="00D810F7" w:rsidRPr="00D0221B">
        <w:t>@ctr.lu.se)</w:t>
      </w:r>
    </w:p>
    <w:p w14:paraId="0DE25837" w14:textId="18233D36" w:rsidR="004E017D" w:rsidRPr="00D0221B" w:rsidRDefault="004E017D" w:rsidP="004E017D">
      <w:pPr>
        <w:pStyle w:val="Brdtextmedindrag"/>
        <w:ind w:firstLine="0"/>
      </w:pPr>
    </w:p>
    <w:p w14:paraId="33F664BE" w14:textId="0C79029E" w:rsidR="00067243" w:rsidRDefault="00067243" w:rsidP="00087B02">
      <w:pPr>
        <w:pStyle w:val="Brdtextmedindrag"/>
        <w:ind w:firstLine="0"/>
      </w:pPr>
      <w:r>
        <w:t>Centre for Theology and Religious Studies, Lund University</w:t>
      </w:r>
    </w:p>
    <w:p w14:paraId="146FFEB4" w14:textId="77777777" w:rsidR="0023500B" w:rsidRDefault="0023500B" w:rsidP="00087B02">
      <w:pPr>
        <w:pStyle w:val="Brdtextmedindrag"/>
        <w:ind w:firstLine="0"/>
      </w:pPr>
    </w:p>
    <w:p w14:paraId="278AF198" w14:textId="35D15059" w:rsidR="0023500B" w:rsidRDefault="0023500B" w:rsidP="000F1B54">
      <w:pPr>
        <w:pStyle w:val="Brdtextmedindrag"/>
        <w:ind w:firstLine="0"/>
      </w:pPr>
      <w:r w:rsidRPr="00C67B09">
        <w:rPr>
          <w:b/>
        </w:rPr>
        <w:t>Compact seminar</w:t>
      </w:r>
      <w:r>
        <w:t xml:space="preserve">: Lund, </w:t>
      </w:r>
      <w:r w:rsidR="008F1C6D">
        <w:t>November</w:t>
      </w:r>
      <w:r w:rsidR="00F30D49">
        <w:t xml:space="preserve"> </w:t>
      </w:r>
      <w:r w:rsidR="003241A9">
        <w:t>5</w:t>
      </w:r>
      <w:r w:rsidR="00D810F7">
        <w:t>–</w:t>
      </w:r>
      <w:r w:rsidR="003241A9">
        <w:t>6</w:t>
      </w:r>
      <w:r w:rsidR="00A253C6">
        <w:t xml:space="preserve">, </w:t>
      </w:r>
      <w:r w:rsidR="008F1C6D">
        <w:t>20</w:t>
      </w:r>
      <w:r w:rsidR="00730388">
        <w:t>2</w:t>
      </w:r>
      <w:r w:rsidR="00D810F7">
        <w:t>4</w:t>
      </w:r>
    </w:p>
    <w:p w14:paraId="4AB87C2E" w14:textId="77777777" w:rsidR="005073D4" w:rsidRDefault="005073D4" w:rsidP="00087B02">
      <w:pPr>
        <w:pStyle w:val="Brdtextmedindrag"/>
        <w:ind w:firstLine="0"/>
      </w:pPr>
    </w:p>
    <w:p w14:paraId="74C5771E" w14:textId="77777777" w:rsidR="00067243" w:rsidRPr="00CE3654" w:rsidRDefault="00067243" w:rsidP="00067243">
      <w:pPr>
        <w:pStyle w:val="Brdtext"/>
        <w:rPr>
          <w:b/>
        </w:rPr>
      </w:pPr>
      <w:r w:rsidRPr="00CE3654">
        <w:rPr>
          <w:b/>
        </w:rPr>
        <w:t>Form of Teaching; Course Activities</w:t>
      </w:r>
    </w:p>
    <w:p w14:paraId="29A3AA66" w14:textId="6D1DE0CF" w:rsidR="007F40CD" w:rsidRDefault="007F40CD" w:rsidP="00366B64">
      <w:pPr>
        <w:pStyle w:val="Brdtextmedindrag"/>
        <w:ind w:firstLine="0"/>
      </w:pPr>
      <w:r>
        <w:t>Instruction includes:</w:t>
      </w:r>
    </w:p>
    <w:p w14:paraId="26077D95" w14:textId="556FBE29" w:rsidR="007F40CD" w:rsidRDefault="007F40CD" w:rsidP="007F40CD">
      <w:pPr>
        <w:pStyle w:val="Brdtextmedindrag"/>
        <w:numPr>
          <w:ilvl w:val="0"/>
          <w:numId w:val="12"/>
        </w:numPr>
      </w:pPr>
      <w:r>
        <w:t>Compact seminar</w:t>
      </w:r>
    </w:p>
    <w:p w14:paraId="1C74478D" w14:textId="1D3AA021" w:rsidR="007F40CD" w:rsidRDefault="007F40CD" w:rsidP="007F40CD">
      <w:pPr>
        <w:pStyle w:val="Brdtextmedindrag"/>
        <w:numPr>
          <w:ilvl w:val="0"/>
          <w:numId w:val="12"/>
        </w:numPr>
      </w:pPr>
      <w:r>
        <w:t>E-learning</w:t>
      </w:r>
    </w:p>
    <w:p w14:paraId="5677B155" w14:textId="74C7D369" w:rsidR="00067243" w:rsidRPr="00EE4AA8" w:rsidRDefault="00067243" w:rsidP="00366B64">
      <w:pPr>
        <w:pStyle w:val="Brdtextmedindrag"/>
        <w:ind w:firstLine="0"/>
      </w:pPr>
      <w:r>
        <w:t>Instruction is provided via the internet</w:t>
      </w:r>
      <w:r w:rsidR="00C06BF0">
        <w:t xml:space="preserve"> (Canvas)</w:t>
      </w:r>
      <w:r>
        <w:t xml:space="preserve"> and through a compact seminar</w:t>
      </w:r>
      <w:r w:rsidR="00C06BF0">
        <w:t xml:space="preserve"> in Lund,</w:t>
      </w:r>
      <w:r>
        <w:t xml:space="preserve"> and</w:t>
      </w:r>
      <w:r w:rsidR="00C06BF0">
        <w:t xml:space="preserve"> is</w:t>
      </w:r>
      <w:r>
        <w:t xml:space="preserve"> supported by tutorials at the student’s home university. </w:t>
      </w:r>
      <w:r w:rsidRPr="00E806C9">
        <w:t xml:space="preserve">Participation in the course forum on the internet is a requirement, as well as the submission of </w:t>
      </w:r>
      <w:r w:rsidR="00C06BF0">
        <w:t>four written assignments</w:t>
      </w:r>
      <w:r w:rsidRPr="00E806C9">
        <w:t>.</w:t>
      </w:r>
      <w:r>
        <w:rPr>
          <w:b/>
        </w:rPr>
        <w:t xml:space="preserve"> </w:t>
      </w:r>
      <w:r w:rsidRPr="001B796B">
        <w:t>S</w:t>
      </w:r>
      <w:r>
        <w:t>tudents are provided with a reading list to be read independently</w:t>
      </w:r>
      <w:r w:rsidR="00C06BF0">
        <w:t>,</w:t>
      </w:r>
      <w:r>
        <w:t xml:space="preserve"> aided by introductions and weekly assignments on the internet through</w:t>
      </w:r>
      <w:r w:rsidR="00366B64">
        <w:t xml:space="preserve"> C</w:t>
      </w:r>
      <w:r w:rsidR="00FF0C84">
        <w:t>anvas</w:t>
      </w:r>
      <w:r>
        <w:t xml:space="preserve">. The students may be asked to prepare some additional material for the compact seminar. </w:t>
      </w:r>
    </w:p>
    <w:p w14:paraId="386E2670" w14:textId="77777777" w:rsidR="00067243" w:rsidRDefault="00067243" w:rsidP="00087B02">
      <w:pPr>
        <w:pStyle w:val="Brdtextmedindrag"/>
        <w:ind w:firstLine="0"/>
      </w:pPr>
    </w:p>
    <w:p w14:paraId="58BFF176" w14:textId="77777777" w:rsidR="00C06BF0" w:rsidRDefault="00C06BF0" w:rsidP="00087B02">
      <w:pPr>
        <w:pStyle w:val="Brdtextmedindrag"/>
        <w:ind w:firstLine="0"/>
      </w:pPr>
    </w:p>
    <w:p w14:paraId="30DCA93F" w14:textId="77777777" w:rsidR="00C06BF0" w:rsidRDefault="00C06BF0" w:rsidP="00087B02">
      <w:pPr>
        <w:pStyle w:val="Brdtextmedindrag"/>
        <w:ind w:firstLine="0"/>
      </w:pPr>
    </w:p>
    <w:p w14:paraId="44CCF387" w14:textId="42C019A0" w:rsidR="005073D4" w:rsidRPr="005F27FC" w:rsidRDefault="00975A8D" w:rsidP="0023529B">
      <w:pPr>
        <w:pStyle w:val="Brdtextmedindrag"/>
        <w:ind w:firstLine="0"/>
        <w:rPr>
          <w:b/>
        </w:rPr>
      </w:pPr>
      <w:r w:rsidRPr="005F27FC">
        <w:rPr>
          <w:b/>
        </w:rPr>
        <w:lastRenderedPageBreak/>
        <w:t>Exam</w:t>
      </w:r>
    </w:p>
    <w:p w14:paraId="33D76399" w14:textId="65437542" w:rsidR="00D54387" w:rsidRDefault="000E0DA7" w:rsidP="001A559E">
      <w:pPr>
        <w:pStyle w:val="Brdtextmedindrag"/>
        <w:ind w:firstLine="0"/>
      </w:pPr>
      <w:r w:rsidRPr="000E0DA7">
        <w:t>The course is examined through written exams</w:t>
      </w:r>
      <w:r>
        <w:t>.</w:t>
      </w:r>
      <w:r w:rsidRPr="000E0DA7">
        <w:t xml:space="preserve"> </w:t>
      </w:r>
      <w:r>
        <w:t>The</w:t>
      </w:r>
      <w:r w:rsidRPr="000E0DA7">
        <w:t xml:space="preserve"> student will write 4 papers of ca. 2</w:t>
      </w:r>
      <w:r w:rsidR="00D54387">
        <w:t>–</w:t>
      </w:r>
      <w:r w:rsidRPr="000E0DA7">
        <w:t>6 pages each, on a topic or questions provided by the instructor (at least 7 days prior to respective deadline). A page is defined as having 2400 characters, including spaces. The exam</w:t>
      </w:r>
      <w:r w:rsidR="00D54387">
        <w:t>s</w:t>
      </w:r>
      <w:r w:rsidRPr="000E0DA7">
        <w:t xml:space="preserve"> should be submitted by</w:t>
      </w:r>
    </w:p>
    <w:p w14:paraId="5039B04B" w14:textId="5768EC3A" w:rsidR="00D54387" w:rsidRDefault="000E0DA7" w:rsidP="001A559E">
      <w:pPr>
        <w:pStyle w:val="Brdtextmedindrag"/>
        <w:ind w:firstLine="0"/>
      </w:pPr>
      <w:r w:rsidRPr="000E0DA7">
        <w:t xml:space="preserve">1) </w:t>
      </w:r>
      <w:r w:rsidR="006B584A">
        <w:t>November 12</w:t>
      </w:r>
      <w:r w:rsidR="00D54387">
        <w:t>,</w:t>
      </w:r>
      <w:r w:rsidRPr="000E0DA7">
        <w:t xml:space="preserve"> </w:t>
      </w:r>
      <w:r w:rsidR="00D54387">
        <w:t>18.00, 2024</w:t>
      </w:r>
    </w:p>
    <w:p w14:paraId="59570D68" w14:textId="6EB254D9" w:rsidR="00D54387" w:rsidRDefault="000E0DA7" w:rsidP="001A559E">
      <w:pPr>
        <w:pStyle w:val="Brdtextmedindrag"/>
        <w:ind w:firstLine="0"/>
      </w:pPr>
      <w:r w:rsidRPr="000E0DA7">
        <w:t xml:space="preserve">2) </w:t>
      </w:r>
      <w:r w:rsidR="006B584A">
        <w:t>November 13</w:t>
      </w:r>
      <w:r w:rsidR="00D54387">
        <w:t>,</w:t>
      </w:r>
      <w:r w:rsidRPr="000E0DA7">
        <w:t xml:space="preserve"> 18.00</w:t>
      </w:r>
      <w:r w:rsidR="00D54387">
        <w:t>,</w:t>
      </w:r>
      <w:r w:rsidRPr="000E0DA7">
        <w:t xml:space="preserve"> 2024</w:t>
      </w:r>
    </w:p>
    <w:p w14:paraId="0E424955" w14:textId="0D491126" w:rsidR="00D54387" w:rsidRDefault="000E0DA7" w:rsidP="001A559E">
      <w:pPr>
        <w:pStyle w:val="Brdtextmedindrag"/>
        <w:ind w:firstLine="0"/>
      </w:pPr>
      <w:r w:rsidRPr="000E0DA7">
        <w:t>3) December 18</w:t>
      </w:r>
      <w:r w:rsidR="00D54387">
        <w:t>,</w:t>
      </w:r>
      <w:r w:rsidRPr="000E0DA7">
        <w:t xml:space="preserve"> 18.00</w:t>
      </w:r>
      <w:r w:rsidR="00D54387">
        <w:t>,</w:t>
      </w:r>
      <w:r w:rsidRPr="000E0DA7">
        <w:t xml:space="preserve"> 2024</w:t>
      </w:r>
    </w:p>
    <w:p w14:paraId="2FEA4C6C" w14:textId="4723895D" w:rsidR="000E0DA7" w:rsidRDefault="000E0DA7" w:rsidP="001A559E">
      <w:pPr>
        <w:pStyle w:val="Brdtextmedindrag"/>
        <w:ind w:firstLine="0"/>
      </w:pPr>
      <w:r w:rsidRPr="000E0DA7">
        <w:t>4) January 15, 18.00</w:t>
      </w:r>
      <w:r w:rsidR="00D54387">
        <w:t>,</w:t>
      </w:r>
      <w:r w:rsidRPr="000E0DA7">
        <w:t xml:space="preserve"> 2025.</w:t>
      </w:r>
    </w:p>
    <w:p w14:paraId="361FBAED" w14:textId="77777777" w:rsidR="000E0DA7" w:rsidRDefault="000E0DA7" w:rsidP="001A559E">
      <w:pPr>
        <w:pStyle w:val="Brdtextmedindrag"/>
        <w:ind w:firstLine="0"/>
      </w:pPr>
    </w:p>
    <w:p w14:paraId="668E0A35" w14:textId="77777777" w:rsidR="00975A8D" w:rsidRDefault="00975A8D" w:rsidP="00771215">
      <w:pPr>
        <w:pStyle w:val="Brdtextmedindrag"/>
        <w:ind w:firstLine="0"/>
      </w:pPr>
    </w:p>
    <w:p w14:paraId="5EA3D675" w14:textId="4E673459" w:rsidR="00975A8D" w:rsidRPr="00C67B09" w:rsidRDefault="00975A8D" w:rsidP="00771215">
      <w:pPr>
        <w:pStyle w:val="Brdtextmedindrag"/>
        <w:ind w:firstLine="0"/>
        <w:rPr>
          <w:b/>
        </w:rPr>
      </w:pPr>
      <w:r w:rsidRPr="00C67B09">
        <w:rPr>
          <w:b/>
        </w:rPr>
        <w:t>Re-exam</w:t>
      </w:r>
    </w:p>
    <w:p w14:paraId="0F18BA54" w14:textId="5CE26001" w:rsidR="00DA52F7" w:rsidRDefault="0049050D" w:rsidP="00B31BC2">
      <w:pPr>
        <w:pStyle w:val="Brdtextmedindrag"/>
        <w:ind w:firstLine="0"/>
      </w:pPr>
      <w:r>
        <w:t>There are two opportunities</w:t>
      </w:r>
      <w:r w:rsidR="006F27F4">
        <w:t xml:space="preserve"> to do a re-exam, 1)</w:t>
      </w:r>
      <w:r w:rsidR="00536657">
        <w:t xml:space="preserve"> February</w:t>
      </w:r>
      <w:r w:rsidR="002A588A">
        <w:t xml:space="preserve"> </w:t>
      </w:r>
      <w:r w:rsidR="00D810F7">
        <w:t>17–23</w:t>
      </w:r>
      <w:r w:rsidR="00A919C1">
        <w:t xml:space="preserve">, </w:t>
      </w:r>
      <w:r w:rsidR="007F40CD">
        <w:t>20</w:t>
      </w:r>
      <w:r w:rsidR="00C73E52">
        <w:t>2</w:t>
      </w:r>
      <w:r w:rsidR="00D810F7">
        <w:t>5</w:t>
      </w:r>
      <w:r w:rsidR="00022349">
        <w:t xml:space="preserve">, or </w:t>
      </w:r>
      <w:r w:rsidR="006F27F4">
        <w:t xml:space="preserve">2) </w:t>
      </w:r>
      <w:r w:rsidR="007F40CD">
        <w:t xml:space="preserve">August </w:t>
      </w:r>
      <w:r w:rsidR="00D810F7">
        <w:t>25–31</w:t>
      </w:r>
      <w:r w:rsidR="00A919C1">
        <w:t xml:space="preserve">, </w:t>
      </w:r>
      <w:r w:rsidR="007F40CD">
        <w:t>20</w:t>
      </w:r>
      <w:r w:rsidR="00C73E52">
        <w:t>2</w:t>
      </w:r>
      <w:r w:rsidR="00D810F7">
        <w:t>5</w:t>
      </w:r>
      <w:r w:rsidR="00B31BC2">
        <w:t xml:space="preserve">. </w:t>
      </w:r>
      <w:r w:rsidR="006F27F4">
        <w:t>The student must registe</w:t>
      </w:r>
      <w:r w:rsidR="006075DE">
        <w:t xml:space="preserve">r for those exams by sending an </w:t>
      </w:r>
      <w:r w:rsidR="006F27F4">
        <w:t>e-</w:t>
      </w:r>
      <w:r w:rsidR="001C0FB7">
        <w:t xml:space="preserve">mail to one of the instructors </w:t>
      </w:r>
      <w:r w:rsidR="00BC265F">
        <w:t>three</w:t>
      </w:r>
      <w:r w:rsidR="006F27F4">
        <w:t xml:space="preserve"> weeks prior to the exam date.</w:t>
      </w:r>
    </w:p>
    <w:p w14:paraId="0E8E1CCA" w14:textId="77777777" w:rsidR="006766A6" w:rsidRDefault="006766A6" w:rsidP="00771215">
      <w:pPr>
        <w:pStyle w:val="Brdtextmedindrag"/>
        <w:ind w:firstLine="0"/>
      </w:pPr>
    </w:p>
    <w:p w14:paraId="5A887D80" w14:textId="19F7ACB1" w:rsidR="006766A6" w:rsidRDefault="006766A6" w:rsidP="00771215">
      <w:pPr>
        <w:pStyle w:val="Brdtextmedindrag"/>
        <w:ind w:firstLine="0"/>
        <w:rPr>
          <w:b/>
        </w:rPr>
      </w:pPr>
      <w:r w:rsidRPr="00C67B09">
        <w:rPr>
          <w:b/>
        </w:rPr>
        <w:t>Learning Outcomes</w:t>
      </w:r>
    </w:p>
    <w:p w14:paraId="61A75568" w14:textId="2C39D888" w:rsidR="00B42A00" w:rsidRDefault="00B42A00" w:rsidP="00FA0D21">
      <w:pPr>
        <w:pStyle w:val="Brdtextmedindrag"/>
        <w:ind w:firstLine="0"/>
        <w:rPr>
          <w:bCs/>
        </w:rPr>
      </w:pPr>
      <w:r w:rsidRPr="00B42A00">
        <w:rPr>
          <w:bCs/>
        </w:rPr>
        <w:t xml:space="preserve">The following represent </w:t>
      </w:r>
      <w:r w:rsidR="00FA0D21">
        <w:rPr>
          <w:bCs/>
        </w:rPr>
        <w:t>the most important aspects of the learning outcomes. More details may be found in the RRE study plan</w:t>
      </w:r>
      <w:r w:rsidR="00FA210A">
        <w:rPr>
          <w:bCs/>
        </w:rPr>
        <w:t>:</w:t>
      </w:r>
    </w:p>
    <w:p w14:paraId="32E8D070" w14:textId="4FAC49C5" w:rsidR="00CE1DA2" w:rsidRDefault="00000000" w:rsidP="00CE1DA2">
      <w:pPr>
        <w:pStyle w:val="Brdtextmedindrag"/>
        <w:ind w:firstLine="0"/>
        <w:rPr>
          <w:bCs/>
        </w:rPr>
      </w:pPr>
      <w:hyperlink r:id="rId7" w:history="1">
        <w:r w:rsidR="00CE1DA2" w:rsidRPr="001146BB">
          <w:rPr>
            <w:rStyle w:val="Hyperlnk"/>
            <w:bCs/>
          </w:rPr>
          <w:t>http://religious-studies.net/wp-content/uploads/2018/09/RRE-Study-Plan-2017-April.pdf</w:t>
        </w:r>
      </w:hyperlink>
    </w:p>
    <w:p w14:paraId="5F3CCDF6" w14:textId="77777777" w:rsidR="00CE1DA2" w:rsidRDefault="00CE1DA2" w:rsidP="00CE1DA2">
      <w:pPr>
        <w:pStyle w:val="Brdtextmedindrag"/>
        <w:ind w:firstLine="0"/>
        <w:rPr>
          <w:bCs/>
        </w:rPr>
      </w:pPr>
    </w:p>
    <w:p w14:paraId="7975FD5C" w14:textId="77777777" w:rsidR="0094446F" w:rsidRDefault="0094446F" w:rsidP="0094446F">
      <w:pPr>
        <w:pStyle w:val="Brdtextmedindrag"/>
        <w:ind w:firstLine="0"/>
      </w:pPr>
      <w:r>
        <w:t xml:space="preserve">On completion of the course the student shall </w:t>
      </w:r>
    </w:p>
    <w:p w14:paraId="28DAC49E" w14:textId="77777777" w:rsidR="0094446F" w:rsidRDefault="0094446F" w:rsidP="0094446F">
      <w:pPr>
        <w:pStyle w:val="Brdtextmedindrag"/>
        <w:ind w:firstLine="0"/>
      </w:pPr>
    </w:p>
    <w:p w14:paraId="32816B80" w14:textId="3E3EE060" w:rsidR="0094446F" w:rsidRPr="007933E9" w:rsidRDefault="0094446F" w:rsidP="00D0221B">
      <w:pPr>
        <w:pStyle w:val="Brdtextmedindrag"/>
        <w:ind w:firstLine="0"/>
        <w:jc w:val="center"/>
        <w:rPr>
          <w:b/>
          <w:bCs/>
        </w:rPr>
      </w:pPr>
      <w:r w:rsidRPr="007933E9">
        <w:rPr>
          <w:b/>
          <w:bCs/>
        </w:rPr>
        <w:t>Knowledge and understanding</w:t>
      </w:r>
    </w:p>
    <w:p w14:paraId="72B2BD2B" w14:textId="77777777" w:rsidR="0094446F" w:rsidRDefault="0094446F" w:rsidP="0094446F">
      <w:pPr>
        <w:pStyle w:val="Brdtextmedindrag"/>
        <w:ind w:firstLine="0"/>
      </w:pPr>
    </w:p>
    <w:p w14:paraId="4029BF09" w14:textId="701D3193" w:rsidR="0094446F" w:rsidRDefault="0094446F" w:rsidP="0094446F">
      <w:pPr>
        <w:pStyle w:val="Brdtextmedindrag"/>
        <w:numPr>
          <w:ilvl w:val="0"/>
          <w:numId w:val="13"/>
        </w:numPr>
      </w:pPr>
      <w:r>
        <w:t xml:space="preserve">be able to account for key notions of the theory and method relevant for the study of religion in antiquity in general and for the subject of the individual master’s thesis in particular, with reference to selected texts </w:t>
      </w:r>
    </w:p>
    <w:p w14:paraId="3E6D43A8" w14:textId="66533DB8" w:rsidR="0094446F" w:rsidRDefault="0094446F" w:rsidP="0094446F">
      <w:pPr>
        <w:pStyle w:val="Brdtextmedindrag"/>
        <w:numPr>
          <w:ilvl w:val="0"/>
          <w:numId w:val="13"/>
        </w:numPr>
      </w:pPr>
      <w:r>
        <w:t>independently be able to identify and explain the ideological and theoretical implications and consequences of the choice of theory and method for the study of texts and objects from Antiquity</w:t>
      </w:r>
    </w:p>
    <w:p w14:paraId="4537A74F" w14:textId="77777777" w:rsidR="0094446F" w:rsidRDefault="0094446F" w:rsidP="0094446F">
      <w:pPr>
        <w:pStyle w:val="Brdtextmedindrag"/>
        <w:ind w:firstLine="0"/>
      </w:pPr>
    </w:p>
    <w:p w14:paraId="233BBB09" w14:textId="000C6E91" w:rsidR="0094446F" w:rsidRPr="007933E9" w:rsidRDefault="0094446F" w:rsidP="00D0221B">
      <w:pPr>
        <w:pStyle w:val="Brdtextmedindrag"/>
        <w:ind w:firstLine="0"/>
        <w:jc w:val="center"/>
        <w:rPr>
          <w:b/>
          <w:bCs/>
        </w:rPr>
      </w:pPr>
      <w:r w:rsidRPr="007933E9">
        <w:rPr>
          <w:b/>
          <w:bCs/>
        </w:rPr>
        <w:t>Competence and skills</w:t>
      </w:r>
    </w:p>
    <w:p w14:paraId="4F98A22F" w14:textId="77777777" w:rsidR="0094446F" w:rsidRDefault="0094446F" w:rsidP="0094446F">
      <w:pPr>
        <w:pStyle w:val="Brdtextmedindrag"/>
        <w:ind w:firstLine="0"/>
      </w:pPr>
    </w:p>
    <w:p w14:paraId="75E418AE" w14:textId="452F5992" w:rsidR="0094446F" w:rsidRDefault="0094446F" w:rsidP="0094446F">
      <w:pPr>
        <w:pStyle w:val="Brdtextmedindrag"/>
        <w:numPr>
          <w:ilvl w:val="0"/>
          <w:numId w:val="13"/>
        </w:numPr>
      </w:pPr>
      <w:r>
        <w:t xml:space="preserve">highly independently be able to apply theories and methods to the study of texts and objects from </w:t>
      </w:r>
      <w:r w:rsidR="00C06BF0">
        <w:t>Antiquity</w:t>
      </w:r>
    </w:p>
    <w:p w14:paraId="7055B60D" w14:textId="39BA4B6A" w:rsidR="0094446F" w:rsidRDefault="0094446F" w:rsidP="0094446F">
      <w:pPr>
        <w:pStyle w:val="Brdtextmedindrag"/>
        <w:numPr>
          <w:ilvl w:val="0"/>
          <w:numId w:val="13"/>
        </w:numPr>
      </w:pPr>
      <w:r>
        <w:t xml:space="preserve">be able to account in detail for the reconstruction of ancient cultures, applying relevant methods </w:t>
      </w:r>
    </w:p>
    <w:p w14:paraId="066974BB" w14:textId="77777777" w:rsidR="0094446F" w:rsidRDefault="0094446F" w:rsidP="0094446F">
      <w:pPr>
        <w:pStyle w:val="Brdtextmedindrag"/>
        <w:ind w:firstLine="0"/>
      </w:pPr>
    </w:p>
    <w:p w14:paraId="213D66B6" w14:textId="77FA6CB1" w:rsidR="0094446F" w:rsidRDefault="0094446F" w:rsidP="00D0221B">
      <w:pPr>
        <w:pStyle w:val="Brdtextmedindrag"/>
        <w:ind w:firstLine="0"/>
        <w:jc w:val="center"/>
        <w:rPr>
          <w:b/>
          <w:bCs/>
        </w:rPr>
      </w:pPr>
      <w:r w:rsidRPr="007933E9">
        <w:rPr>
          <w:b/>
          <w:bCs/>
        </w:rPr>
        <w:t>Judgement and approach</w:t>
      </w:r>
    </w:p>
    <w:p w14:paraId="40452247" w14:textId="77777777" w:rsidR="00D0221B" w:rsidRPr="007933E9" w:rsidRDefault="00D0221B" w:rsidP="00D0221B">
      <w:pPr>
        <w:pStyle w:val="Brdtextmedindrag"/>
        <w:ind w:firstLine="0"/>
        <w:jc w:val="center"/>
        <w:rPr>
          <w:b/>
          <w:bCs/>
        </w:rPr>
      </w:pPr>
    </w:p>
    <w:p w14:paraId="4983FC5A" w14:textId="2D78E6CD" w:rsidR="00C06BF0" w:rsidRPr="00E13994" w:rsidRDefault="0094446F" w:rsidP="002E3150">
      <w:pPr>
        <w:pStyle w:val="Brdtextmedindrag"/>
        <w:numPr>
          <w:ilvl w:val="0"/>
          <w:numId w:val="13"/>
        </w:numPr>
      </w:pPr>
      <w:r>
        <w:t>be able to critically and self-critically assess theoretical and methodological presuppositions and justify his or her own choice of theory and method, orally and in writing.</w:t>
      </w:r>
    </w:p>
    <w:sectPr w:rsidR="00C06BF0" w:rsidRPr="00E13994" w:rsidSect="00771215">
      <w:footerReference w:type="even" r:id="rId8"/>
      <w:footerReference w:type="default" r:id="rId9"/>
      <w:pgSz w:w="11899" w:h="16838"/>
      <w:pgMar w:top="1134" w:right="1701" w:bottom="1701" w:left="1701"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C277E" w14:textId="77777777" w:rsidR="00914241" w:rsidRDefault="00914241">
      <w:r>
        <w:separator/>
      </w:r>
    </w:p>
  </w:endnote>
  <w:endnote w:type="continuationSeparator" w:id="0">
    <w:p w14:paraId="2C0154CA" w14:textId="77777777" w:rsidR="00914241" w:rsidRDefault="0091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9D1F" w14:textId="77777777" w:rsidR="00590111" w:rsidRDefault="0059011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2C809135" w14:textId="77777777" w:rsidR="00590111" w:rsidRDefault="005901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2CD0" w14:textId="77777777" w:rsidR="00590111" w:rsidRDefault="00590111" w:rsidP="00771215">
    <w:pPr>
      <w:pStyle w:val="Sidfot"/>
      <w:framePr w:wrap="around" w:vAnchor="text" w:hAnchor="page" w:x="6022" w:y="49"/>
      <w:rPr>
        <w:rStyle w:val="Sidnummer"/>
      </w:rPr>
    </w:pPr>
    <w:r>
      <w:rPr>
        <w:rStyle w:val="Sidnummer"/>
      </w:rPr>
      <w:fldChar w:fldCharType="begin"/>
    </w:r>
    <w:r>
      <w:rPr>
        <w:rStyle w:val="Sidnummer"/>
      </w:rPr>
      <w:instrText xml:space="preserve">PAGE  </w:instrText>
    </w:r>
    <w:r>
      <w:rPr>
        <w:rStyle w:val="Sidnummer"/>
      </w:rPr>
      <w:fldChar w:fldCharType="separate"/>
    </w:r>
    <w:r w:rsidR="007C332B">
      <w:rPr>
        <w:rStyle w:val="Sidnummer"/>
        <w:noProof/>
      </w:rPr>
      <w:t>1</w:t>
    </w:r>
    <w:r>
      <w:rPr>
        <w:rStyle w:val="Sidnummer"/>
      </w:rPr>
      <w:fldChar w:fldCharType="end"/>
    </w:r>
  </w:p>
  <w:p w14:paraId="7A93E394" w14:textId="77777777" w:rsidR="00590111" w:rsidRDefault="005901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4FAC4" w14:textId="77777777" w:rsidR="00914241" w:rsidRDefault="00914241">
      <w:r>
        <w:separator/>
      </w:r>
    </w:p>
  </w:footnote>
  <w:footnote w:type="continuationSeparator" w:id="0">
    <w:p w14:paraId="0BD0BA17" w14:textId="77777777" w:rsidR="00914241" w:rsidRDefault="00914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4065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2170D"/>
    <w:multiLevelType w:val="hybridMultilevel"/>
    <w:tmpl w:val="17A68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846A6"/>
    <w:multiLevelType w:val="multilevel"/>
    <w:tmpl w:val="32AE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ED1A94"/>
    <w:multiLevelType w:val="hybridMultilevel"/>
    <w:tmpl w:val="18FCF648"/>
    <w:lvl w:ilvl="0" w:tplc="70783B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465E2A"/>
    <w:multiLevelType w:val="hybridMultilevel"/>
    <w:tmpl w:val="85D84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A822DE3"/>
    <w:multiLevelType w:val="hybridMultilevel"/>
    <w:tmpl w:val="208883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F42D5B"/>
    <w:multiLevelType w:val="hybridMultilevel"/>
    <w:tmpl w:val="55EEF70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7191D"/>
    <w:multiLevelType w:val="hybridMultilevel"/>
    <w:tmpl w:val="86A628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571B6AF1"/>
    <w:multiLevelType w:val="hybridMultilevel"/>
    <w:tmpl w:val="DF30BB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6BB6355"/>
    <w:multiLevelType w:val="hybridMultilevel"/>
    <w:tmpl w:val="E8768C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81216"/>
    <w:multiLevelType w:val="multilevel"/>
    <w:tmpl w:val="2DCA0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8F74D1"/>
    <w:multiLevelType w:val="hybridMultilevel"/>
    <w:tmpl w:val="4D40E2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1A4F4B"/>
    <w:multiLevelType w:val="hybridMultilevel"/>
    <w:tmpl w:val="DA0CA6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52178590">
    <w:abstractNumId w:val="7"/>
  </w:num>
  <w:num w:numId="2" w16cid:durableId="1835098899">
    <w:abstractNumId w:val="0"/>
  </w:num>
  <w:num w:numId="3" w16cid:durableId="371005056">
    <w:abstractNumId w:val="11"/>
  </w:num>
  <w:num w:numId="4" w16cid:durableId="1178349915">
    <w:abstractNumId w:val="9"/>
  </w:num>
  <w:num w:numId="5" w16cid:durableId="718699651">
    <w:abstractNumId w:val="8"/>
  </w:num>
  <w:num w:numId="6" w16cid:durableId="721713032">
    <w:abstractNumId w:val="6"/>
  </w:num>
  <w:num w:numId="7" w16cid:durableId="213587729">
    <w:abstractNumId w:val="12"/>
  </w:num>
  <w:num w:numId="8" w16cid:durableId="1152866008">
    <w:abstractNumId w:val="1"/>
  </w:num>
  <w:num w:numId="9" w16cid:durableId="487746192">
    <w:abstractNumId w:val="5"/>
  </w:num>
  <w:num w:numId="10" w16cid:durableId="1301881575">
    <w:abstractNumId w:val="2"/>
  </w:num>
  <w:num w:numId="11" w16cid:durableId="356854606">
    <w:abstractNumId w:val="10"/>
  </w:num>
  <w:num w:numId="12" w16cid:durableId="54353644">
    <w:abstractNumId w:val="4"/>
  </w:num>
  <w:num w:numId="13" w16cid:durableId="1418671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 w:dllVersion="2" w:checkStyle="1"/>
  <w:activeWritingStyle w:appName="MSWord" w:lang="sv-SE" w:vendorID="666" w:dllVersion="513" w:checkStyle="1"/>
  <w:activeWritingStyle w:appName="MSWord" w:lang="sv-SE" w:vendorID="22" w:dllVersion="513"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Fortres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pproaches to Paul.enl&lt;/item&gt;&lt;/Libraries&gt;&lt;/ENLibraries&gt;"/>
  </w:docVars>
  <w:rsids>
    <w:rsidRoot w:val="001C172F"/>
    <w:rsid w:val="000012FD"/>
    <w:rsid w:val="00020748"/>
    <w:rsid w:val="000211B5"/>
    <w:rsid w:val="00022349"/>
    <w:rsid w:val="00023F5A"/>
    <w:rsid w:val="0002725E"/>
    <w:rsid w:val="000322E9"/>
    <w:rsid w:val="00055050"/>
    <w:rsid w:val="000557DC"/>
    <w:rsid w:val="0005699E"/>
    <w:rsid w:val="00056DEA"/>
    <w:rsid w:val="00064698"/>
    <w:rsid w:val="00067243"/>
    <w:rsid w:val="00073346"/>
    <w:rsid w:val="00082E00"/>
    <w:rsid w:val="00085EAC"/>
    <w:rsid w:val="00087B02"/>
    <w:rsid w:val="0009096E"/>
    <w:rsid w:val="0009353A"/>
    <w:rsid w:val="000A216B"/>
    <w:rsid w:val="000D3EF5"/>
    <w:rsid w:val="000E0DA7"/>
    <w:rsid w:val="000E544E"/>
    <w:rsid w:val="000E7465"/>
    <w:rsid w:val="000F1130"/>
    <w:rsid w:val="000F1B54"/>
    <w:rsid w:val="0011298A"/>
    <w:rsid w:val="00117595"/>
    <w:rsid w:val="0012385E"/>
    <w:rsid w:val="00123995"/>
    <w:rsid w:val="00151EC3"/>
    <w:rsid w:val="0016488C"/>
    <w:rsid w:val="00164A41"/>
    <w:rsid w:val="0016681F"/>
    <w:rsid w:val="001908E4"/>
    <w:rsid w:val="0019275C"/>
    <w:rsid w:val="00194543"/>
    <w:rsid w:val="001A54E1"/>
    <w:rsid w:val="001A559E"/>
    <w:rsid w:val="001B6884"/>
    <w:rsid w:val="001C0FB7"/>
    <w:rsid w:val="001C172F"/>
    <w:rsid w:val="001C56EC"/>
    <w:rsid w:val="001C7BAE"/>
    <w:rsid w:val="001D7BB0"/>
    <w:rsid w:val="001E6902"/>
    <w:rsid w:val="001F56A0"/>
    <w:rsid w:val="0021564F"/>
    <w:rsid w:val="00220689"/>
    <w:rsid w:val="00223FE5"/>
    <w:rsid w:val="0023500B"/>
    <w:rsid w:val="0023529B"/>
    <w:rsid w:val="00243FD6"/>
    <w:rsid w:val="00247D58"/>
    <w:rsid w:val="00250058"/>
    <w:rsid w:val="002954FA"/>
    <w:rsid w:val="002A588A"/>
    <w:rsid w:val="002A7DFF"/>
    <w:rsid w:val="002B670A"/>
    <w:rsid w:val="002D6DFF"/>
    <w:rsid w:val="002E19E1"/>
    <w:rsid w:val="002E3150"/>
    <w:rsid w:val="00302282"/>
    <w:rsid w:val="003241A9"/>
    <w:rsid w:val="00331F64"/>
    <w:rsid w:val="003510DD"/>
    <w:rsid w:val="00357ABD"/>
    <w:rsid w:val="00366698"/>
    <w:rsid w:val="00366B64"/>
    <w:rsid w:val="00382616"/>
    <w:rsid w:val="003925FC"/>
    <w:rsid w:val="00397126"/>
    <w:rsid w:val="003A2A5B"/>
    <w:rsid w:val="003A3C01"/>
    <w:rsid w:val="003A434C"/>
    <w:rsid w:val="003C656E"/>
    <w:rsid w:val="003D1CB9"/>
    <w:rsid w:val="003D5C06"/>
    <w:rsid w:val="003E1650"/>
    <w:rsid w:val="003F0837"/>
    <w:rsid w:val="003F2C92"/>
    <w:rsid w:val="003F3732"/>
    <w:rsid w:val="003F6662"/>
    <w:rsid w:val="00402D9E"/>
    <w:rsid w:val="00412355"/>
    <w:rsid w:val="00415B56"/>
    <w:rsid w:val="00426124"/>
    <w:rsid w:val="0042657E"/>
    <w:rsid w:val="004276FE"/>
    <w:rsid w:val="00431D3F"/>
    <w:rsid w:val="00434B2A"/>
    <w:rsid w:val="00444623"/>
    <w:rsid w:val="00453881"/>
    <w:rsid w:val="00454497"/>
    <w:rsid w:val="0045469B"/>
    <w:rsid w:val="004670A1"/>
    <w:rsid w:val="00473B55"/>
    <w:rsid w:val="004875BD"/>
    <w:rsid w:val="0049050D"/>
    <w:rsid w:val="004921BB"/>
    <w:rsid w:val="0049481D"/>
    <w:rsid w:val="004A1E78"/>
    <w:rsid w:val="004A60F4"/>
    <w:rsid w:val="004A6F66"/>
    <w:rsid w:val="004C26E3"/>
    <w:rsid w:val="004E017D"/>
    <w:rsid w:val="004E2845"/>
    <w:rsid w:val="004E782C"/>
    <w:rsid w:val="004F3817"/>
    <w:rsid w:val="005073D4"/>
    <w:rsid w:val="005203D3"/>
    <w:rsid w:val="00520B50"/>
    <w:rsid w:val="00527395"/>
    <w:rsid w:val="00536657"/>
    <w:rsid w:val="00546C5B"/>
    <w:rsid w:val="00546C78"/>
    <w:rsid w:val="00557D65"/>
    <w:rsid w:val="00590111"/>
    <w:rsid w:val="00593D73"/>
    <w:rsid w:val="00594909"/>
    <w:rsid w:val="005D2B15"/>
    <w:rsid w:val="005E4E2E"/>
    <w:rsid w:val="005F27FC"/>
    <w:rsid w:val="005F2F9E"/>
    <w:rsid w:val="006075DE"/>
    <w:rsid w:val="00614408"/>
    <w:rsid w:val="00617EDB"/>
    <w:rsid w:val="006273E8"/>
    <w:rsid w:val="00627FD9"/>
    <w:rsid w:val="00631878"/>
    <w:rsid w:val="00644FD6"/>
    <w:rsid w:val="0066283E"/>
    <w:rsid w:val="00667252"/>
    <w:rsid w:val="00675DDF"/>
    <w:rsid w:val="006766A6"/>
    <w:rsid w:val="0068128D"/>
    <w:rsid w:val="006A0683"/>
    <w:rsid w:val="006A0FF9"/>
    <w:rsid w:val="006A4056"/>
    <w:rsid w:val="006B584A"/>
    <w:rsid w:val="006D6CF4"/>
    <w:rsid w:val="006F27F4"/>
    <w:rsid w:val="007113A4"/>
    <w:rsid w:val="00724832"/>
    <w:rsid w:val="00730388"/>
    <w:rsid w:val="00737D00"/>
    <w:rsid w:val="007442B4"/>
    <w:rsid w:val="00771215"/>
    <w:rsid w:val="0077243B"/>
    <w:rsid w:val="0077799F"/>
    <w:rsid w:val="007912F4"/>
    <w:rsid w:val="007933E9"/>
    <w:rsid w:val="007B57BC"/>
    <w:rsid w:val="007B7983"/>
    <w:rsid w:val="007C332B"/>
    <w:rsid w:val="007D0E71"/>
    <w:rsid w:val="007D2474"/>
    <w:rsid w:val="007F3887"/>
    <w:rsid w:val="007F40CD"/>
    <w:rsid w:val="00807FB9"/>
    <w:rsid w:val="00827D93"/>
    <w:rsid w:val="0083295E"/>
    <w:rsid w:val="00846567"/>
    <w:rsid w:val="008523B6"/>
    <w:rsid w:val="008525DD"/>
    <w:rsid w:val="00854C81"/>
    <w:rsid w:val="00867A7A"/>
    <w:rsid w:val="0087402B"/>
    <w:rsid w:val="0088537D"/>
    <w:rsid w:val="00891F8F"/>
    <w:rsid w:val="008A2207"/>
    <w:rsid w:val="008A61F9"/>
    <w:rsid w:val="008C2573"/>
    <w:rsid w:val="008C3A4D"/>
    <w:rsid w:val="008C3B47"/>
    <w:rsid w:val="008C69E7"/>
    <w:rsid w:val="008D6C24"/>
    <w:rsid w:val="008E6469"/>
    <w:rsid w:val="008F0D70"/>
    <w:rsid w:val="008F1B4B"/>
    <w:rsid w:val="008F1C6D"/>
    <w:rsid w:val="00905A03"/>
    <w:rsid w:val="009107B6"/>
    <w:rsid w:val="00913607"/>
    <w:rsid w:val="00914241"/>
    <w:rsid w:val="009147C1"/>
    <w:rsid w:val="00916C37"/>
    <w:rsid w:val="009219FE"/>
    <w:rsid w:val="00943A39"/>
    <w:rsid w:val="0094446F"/>
    <w:rsid w:val="00946FA9"/>
    <w:rsid w:val="00961299"/>
    <w:rsid w:val="00975A8D"/>
    <w:rsid w:val="009822F7"/>
    <w:rsid w:val="00982C4A"/>
    <w:rsid w:val="00983ED1"/>
    <w:rsid w:val="0098671B"/>
    <w:rsid w:val="00987ACB"/>
    <w:rsid w:val="00992F19"/>
    <w:rsid w:val="00994D28"/>
    <w:rsid w:val="00994F55"/>
    <w:rsid w:val="00995DEB"/>
    <w:rsid w:val="009A0826"/>
    <w:rsid w:val="009A4D50"/>
    <w:rsid w:val="009B5C7C"/>
    <w:rsid w:val="009B76BA"/>
    <w:rsid w:val="009E1DE0"/>
    <w:rsid w:val="009E5374"/>
    <w:rsid w:val="00A0312D"/>
    <w:rsid w:val="00A032F6"/>
    <w:rsid w:val="00A12412"/>
    <w:rsid w:val="00A1283F"/>
    <w:rsid w:val="00A17D2E"/>
    <w:rsid w:val="00A253C6"/>
    <w:rsid w:val="00A55112"/>
    <w:rsid w:val="00A5548A"/>
    <w:rsid w:val="00A72404"/>
    <w:rsid w:val="00A80555"/>
    <w:rsid w:val="00A919C1"/>
    <w:rsid w:val="00A94C0C"/>
    <w:rsid w:val="00AA02CF"/>
    <w:rsid w:val="00AA4BB0"/>
    <w:rsid w:val="00AB4B93"/>
    <w:rsid w:val="00AB4E13"/>
    <w:rsid w:val="00AB7DD2"/>
    <w:rsid w:val="00AD3138"/>
    <w:rsid w:val="00AD5D1E"/>
    <w:rsid w:val="00AE0FFB"/>
    <w:rsid w:val="00AF2ACC"/>
    <w:rsid w:val="00B05E90"/>
    <w:rsid w:val="00B16A76"/>
    <w:rsid w:val="00B2149C"/>
    <w:rsid w:val="00B31BC2"/>
    <w:rsid w:val="00B42A00"/>
    <w:rsid w:val="00B66382"/>
    <w:rsid w:val="00B92BD2"/>
    <w:rsid w:val="00B9799F"/>
    <w:rsid w:val="00BA23E1"/>
    <w:rsid w:val="00BA4293"/>
    <w:rsid w:val="00BC265F"/>
    <w:rsid w:val="00BC6F97"/>
    <w:rsid w:val="00BC7142"/>
    <w:rsid w:val="00BD27BE"/>
    <w:rsid w:val="00BE2777"/>
    <w:rsid w:val="00BF610F"/>
    <w:rsid w:val="00C06BF0"/>
    <w:rsid w:val="00C324C9"/>
    <w:rsid w:val="00C34BA0"/>
    <w:rsid w:val="00C36C21"/>
    <w:rsid w:val="00C41E27"/>
    <w:rsid w:val="00C473EB"/>
    <w:rsid w:val="00C53069"/>
    <w:rsid w:val="00C631A8"/>
    <w:rsid w:val="00C66623"/>
    <w:rsid w:val="00C67B09"/>
    <w:rsid w:val="00C73E52"/>
    <w:rsid w:val="00C74CEB"/>
    <w:rsid w:val="00C77982"/>
    <w:rsid w:val="00C8661C"/>
    <w:rsid w:val="00C95DEA"/>
    <w:rsid w:val="00CA0253"/>
    <w:rsid w:val="00CA126B"/>
    <w:rsid w:val="00CC5AE8"/>
    <w:rsid w:val="00CC7269"/>
    <w:rsid w:val="00CE0F5F"/>
    <w:rsid w:val="00CE1DA2"/>
    <w:rsid w:val="00CE3654"/>
    <w:rsid w:val="00D0221B"/>
    <w:rsid w:val="00D06DAF"/>
    <w:rsid w:val="00D15766"/>
    <w:rsid w:val="00D17F5B"/>
    <w:rsid w:val="00D35597"/>
    <w:rsid w:val="00D54387"/>
    <w:rsid w:val="00D62A34"/>
    <w:rsid w:val="00D655E2"/>
    <w:rsid w:val="00D700C3"/>
    <w:rsid w:val="00D70F3A"/>
    <w:rsid w:val="00D72842"/>
    <w:rsid w:val="00D7404D"/>
    <w:rsid w:val="00D810DF"/>
    <w:rsid w:val="00D810F7"/>
    <w:rsid w:val="00D85C52"/>
    <w:rsid w:val="00D8751D"/>
    <w:rsid w:val="00DA52F7"/>
    <w:rsid w:val="00DB6C6F"/>
    <w:rsid w:val="00DF15E0"/>
    <w:rsid w:val="00E0660D"/>
    <w:rsid w:val="00E12B59"/>
    <w:rsid w:val="00E13994"/>
    <w:rsid w:val="00E20714"/>
    <w:rsid w:val="00E26B9D"/>
    <w:rsid w:val="00E36CD2"/>
    <w:rsid w:val="00E64F90"/>
    <w:rsid w:val="00E7011C"/>
    <w:rsid w:val="00E70188"/>
    <w:rsid w:val="00E803EC"/>
    <w:rsid w:val="00E81686"/>
    <w:rsid w:val="00E85BCF"/>
    <w:rsid w:val="00EB3AD2"/>
    <w:rsid w:val="00EC5DD4"/>
    <w:rsid w:val="00ED1661"/>
    <w:rsid w:val="00EE4AA8"/>
    <w:rsid w:val="00EF626D"/>
    <w:rsid w:val="00F018F1"/>
    <w:rsid w:val="00F24422"/>
    <w:rsid w:val="00F26D29"/>
    <w:rsid w:val="00F30D49"/>
    <w:rsid w:val="00F315A4"/>
    <w:rsid w:val="00F51918"/>
    <w:rsid w:val="00F56B7A"/>
    <w:rsid w:val="00F6520E"/>
    <w:rsid w:val="00F86478"/>
    <w:rsid w:val="00F93A2A"/>
    <w:rsid w:val="00FA0D21"/>
    <w:rsid w:val="00FA210A"/>
    <w:rsid w:val="00FA3AD1"/>
    <w:rsid w:val="00FB5DF4"/>
    <w:rsid w:val="00FE4447"/>
    <w:rsid w:val="00FF0C84"/>
    <w:rsid w:val="00FF617F"/>
  </w:rsids>
  <m:mathPr>
    <m:mathFont m:val="Cambria Math"/>
    <m:brkBin m:val="before"/>
    <m:brkBinSub m:val="--"/>
    <m:smallFrac m:val="0"/>
    <m:dispDef m:val="0"/>
    <m:lMargin m:val="0"/>
    <m:rMargin m:val="0"/>
    <m:defJc m:val="centerGroup"/>
    <m:wrapRight/>
    <m:intLim m:val="subSup"/>
    <m:naryLim m:val="subSup"/>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A0B10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2214B"/>
  </w:style>
  <w:style w:type="paragraph" w:styleId="Rubrik1">
    <w:name w:val="heading 1"/>
    <w:basedOn w:val="Normal"/>
    <w:next w:val="Normal"/>
    <w:qFormat/>
    <w:rsid w:val="00C74CEB"/>
    <w:pPr>
      <w:keepNext/>
      <w:spacing w:before="400" w:line="360" w:lineRule="auto"/>
      <w:jc w:val="center"/>
      <w:outlineLvl w:val="0"/>
    </w:pPr>
    <w:rPr>
      <w:kern w:val="32"/>
      <w:sz w:val="40"/>
      <w:szCs w:val="48"/>
      <w:lang w:val="en-US"/>
    </w:rPr>
  </w:style>
  <w:style w:type="paragraph" w:styleId="Rubrik2">
    <w:name w:val="heading 2"/>
    <w:basedOn w:val="Rubrik1"/>
    <w:next w:val="Normal"/>
    <w:qFormat/>
    <w:rsid w:val="007B7983"/>
    <w:pPr>
      <w:spacing w:before="600" w:line="240" w:lineRule="auto"/>
      <w:outlineLvl w:val="1"/>
    </w:pPr>
    <w:rPr>
      <w:sz w:val="32"/>
      <w:szCs w:val="36"/>
    </w:rPr>
  </w:style>
  <w:style w:type="paragraph" w:styleId="Rubrik3">
    <w:name w:val="heading 3"/>
    <w:basedOn w:val="Rubrik2"/>
    <w:next w:val="Normal"/>
    <w:qFormat/>
    <w:rsid w:val="007B7983"/>
    <w:pPr>
      <w:spacing w:before="440" w:after="60" w:line="360" w:lineRule="atLeast"/>
      <w:outlineLvl w:val="2"/>
    </w:pPr>
    <w:rPr>
      <w:sz w:val="28"/>
      <w:szCs w:val="26"/>
    </w:rPr>
  </w:style>
  <w:style w:type="paragraph" w:styleId="Rubrik4">
    <w:name w:val="heading 4"/>
    <w:basedOn w:val="Rubrik3"/>
    <w:next w:val="Normal"/>
    <w:qFormat/>
    <w:rsid w:val="000E7465"/>
    <w:pPr>
      <w:outlineLvl w:val="3"/>
    </w:pPr>
    <w:rPr>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Brdtext"/>
    <w:rsid w:val="00453A35"/>
    <w:pPr>
      <w:ind w:firstLine="318"/>
    </w:pPr>
  </w:style>
  <w:style w:type="paragraph" w:styleId="Brdtext">
    <w:name w:val="Body Text"/>
    <w:basedOn w:val="Normal"/>
    <w:next w:val="Brdtextmedindrag"/>
    <w:rsid w:val="00C74CEB"/>
    <w:pPr>
      <w:spacing w:line="320" w:lineRule="atLeast"/>
      <w:jc w:val="both"/>
    </w:pPr>
    <w:rPr>
      <w:sz w:val="28"/>
      <w:szCs w:val="32"/>
      <w:lang w:val="en-US"/>
    </w:rPr>
  </w:style>
  <w:style w:type="paragraph" w:styleId="Citat">
    <w:name w:val="Quote"/>
    <w:basedOn w:val="Brdtext"/>
    <w:next w:val="Brdtext"/>
    <w:rsid w:val="00C74CEB"/>
    <w:pPr>
      <w:spacing w:before="320" w:after="320" w:line="320" w:lineRule="exact"/>
      <w:ind w:left="567" w:right="567"/>
    </w:pPr>
    <w:rPr>
      <w:noProof/>
    </w:rPr>
  </w:style>
  <w:style w:type="paragraph" w:styleId="Sidfot">
    <w:name w:val="footer"/>
    <w:basedOn w:val="Normal"/>
    <w:semiHidden/>
    <w:rsid w:val="000E7465"/>
    <w:pPr>
      <w:tabs>
        <w:tab w:val="center" w:pos="4536"/>
        <w:tab w:val="right" w:pos="9072"/>
      </w:tabs>
    </w:pPr>
  </w:style>
  <w:style w:type="character" w:styleId="Sidnummer">
    <w:name w:val="page number"/>
    <w:basedOn w:val="Standardstycketeckensnitt"/>
    <w:rsid w:val="000E7465"/>
    <w:rPr>
      <w:rFonts w:ascii="Times New Roman" w:hAnsi="Times New Roman"/>
    </w:rPr>
  </w:style>
  <w:style w:type="paragraph" w:styleId="Sidhuvud">
    <w:name w:val="header"/>
    <w:basedOn w:val="Normal"/>
    <w:rsid w:val="00453A35"/>
    <w:pPr>
      <w:tabs>
        <w:tab w:val="center" w:pos="4536"/>
        <w:tab w:val="right" w:pos="9072"/>
      </w:tabs>
    </w:pPr>
  </w:style>
  <w:style w:type="paragraph" w:styleId="Fotnotstext">
    <w:name w:val="footnote text"/>
    <w:basedOn w:val="Brdtext"/>
    <w:semiHidden/>
    <w:rsid w:val="00C74CEB"/>
  </w:style>
  <w:style w:type="character" w:styleId="Fotnotsreferens">
    <w:name w:val="footnote reference"/>
    <w:basedOn w:val="Standardstycketeckensnitt"/>
    <w:semiHidden/>
    <w:rsid w:val="0092214B"/>
    <w:rPr>
      <w:rFonts w:ascii="Times New Roman" w:hAnsi="Times New Roman"/>
      <w:vertAlign w:val="superscript"/>
    </w:rPr>
  </w:style>
  <w:style w:type="character" w:styleId="Hyperlnk">
    <w:name w:val="Hyperlink"/>
    <w:basedOn w:val="Standardstycketeckensnitt"/>
    <w:uiPriority w:val="99"/>
    <w:unhideWhenUsed/>
    <w:rsid w:val="0042657E"/>
    <w:rPr>
      <w:color w:val="0000FF" w:themeColor="hyperlink"/>
      <w:u w:val="single"/>
    </w:rPr>
  </w:style>
  <w:style w:type="table" w:styleId="Tabellrutnt">
    <w:name w:val="Table Grid"/>
    <w:basedOn w:val="Normaltabell"/>
    <w:uiPriority w:val="59"/>
    <w:rsid w:val="00854C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rsid w:val="008E6469"/>
    <w:pPr>
      <w:ind w:left="720"/>
      <w:contextualSpacing/>
    </w:pPr>
  </w:style>
  <w:style w:type="character" w:styleId="Kommentarsreferens">
    <w:name w:val="annotation reference"/>
    <w:uiPriority w:val="99"/>
    <w:rsid w:val="0011298A"/>
    <w:rPr>
      <w:rFonts w:cs="Times New Roman"/>
      <w:sz w:val="16"/>
    </w:rPr>
  </w:style>
  <w:style w:type="paragraph" w:styleId="Kommentarer">
    <w:name w:val="annotation text"/>
    <w:basedOn w:val="Normal"/>
    <w:link w:val="KommentarerChar"/>
    <w:uiPriority w:val="99"/>
    <w:rsid w:val="0011298A"/>
    <w:rPr>
      <w:sz w:val="20"/>
      <w:szCs w:val="20"/>
      <w:lang w:eastAsia="en-US"/>
    </w:rPr>
  </w:style>
  <w:style w:type="character" w:customStyle="1" w:styleId="KommentarerChar">
    <w:name w:val="Kommentarer Char"/>
    <w:basedOn w:val="Standardstycketeckensnitt"/>
    <w:link w:val="Kommentarer"/>
    <w:uiPriority w:val="99"/>
    <w:rsid w:val="0011298A"/>
    <w:rPr>
      <w:sz w:val="20"/>
      <w:szCs w:val="20"/>
      <w:lang w:eastAsia="en-US"/>
    </w:rPr>
  </w:style>
  <w:style w:type="paragraph" w:styleId="Ballongtext">
    <w:name w:val="Balloon Text"/>
    <w:basedOn w:val="Normal"/>
    <w:link w:val="BallongtextChar"/>
    <w:rsid w:val="0011298A"/>
    <w:rPr>
      <w:rFonts w:ascii="Lucida Grande" w:hAnsi="Lucida Grande" w:cs="Lucida Grande"/>
      <w:sz w:val="18"/>
      <w:szCs w:val="18"/>
    </w:rPr>
  </w:style>
  <w:style w:type="character" w:customStyle="1" w:styleId="BallongtextChar">
    <w:name w:val="Ballongtext Char"/>
    <w:basedOn w:val="Standardstycketeckensnitt"/>
    <w:link w:val="Ballongtext"/>
    <w:rsid w:val="0011298A"/>
    <w:rPr>
      <w:rFonts w:ascii="Lucida Grande" w:hAnsi="Lucida Grande" w:cs="Lucida Grande"/>
      <w:sz w:val="18"/>
      <w:szCs w:val="18"/>
    </w:rPr>
  </w:style>
  <w:style w:type="character" w:styleId="AnvndHyperlnk">
    <w:name w:val="FollowedHyperlink"/>
    <w:basedOn w:val="Standardstycketeckensnitt"/>
    <w:rsid w:val="00982C4A"/>
    <w:rPr>
      <w:color w:val="800080" w:themeColor="followedHyperlink"/>
      <w:u w:val="single"/>
    </w:rPr>
  </w:style>
  <w:style w:type="paragraph" w:styleId="Normalwebb">
    <w:name w:val="Normal (Web)"/>
    <w:basedOn w:val="Normal"/>
    <w:uiPriority w:val="99"/>
    <w:semiHidden/>
    <w:unhideWhenUsed/>
    <w:rsid w:val="00CE0F5F"/>
    <w:pPr>
      <w:spacing w:before="100" w:beforeAutospacing="1" w:after="100" w:afterAutospacing="1"/>
    </w:pPr>
    <w:rPr>
      <w:lang w:bidi="he-IL"/>
    </w:rPr>
  </w:style>
  <w:style w:type="character" w:styleId="Olstomnmnande">
    <w:name w:val="Unresolved Mention"/>
    <w:basedOn w:val="Standardstycketeckensnitt"/>
    <w:rsid w:val="00CE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435229">
      <w:bodyDiv w:val="1"/>
      <w:marLeft w:val="0"/>
      <w:marRight w:val="0"/>
      <w:marTop w:val="0"/>
      <w:marBottom w:val="0"/>
      <w:divBdr>
        <w:top w:val="none" w:sz="0" w:space="0" w:color="auto"/>
        <w:left w:val="none" w:sz="0" w:space="0" w:color="auto"/>
        <w:bottom w:val="none" w:sz="0" w:space="0" w:color="auto"/>
        <w:right w:val="none" w:sz="0" w:space="0" w:color="auto"/>
      </w:divBdr>
      <w:divsChild>
        <w:div w:id="1089934899">
          <w:marLeft w:val="0"/>
          <w:marRight w:val="0"/>
          <w:marTop w:val="0"/>
          <w:marBottom w:val="0"/>
          <w:divBdr>
            <w:top w:val="none" w:sz="0" w:space="0" w:color="auto"/>
            <w:left w:val="none" w:sz="0" w:space="0" w:color="auto"/>
            <w:bottom w:val="none" w:sz="0" w:space="0" w:color="auto"/>
            <w:right w:val="none" w:sz="0" w:space="0" w:color="auto"/>
          </w:divBdr>
          <w:divsChild>
            <w:div w:id="887716671">
              <w:marLeft w:val="0"/>
              <w:marRight w:val="0"/>
              <w:marTop w:val="0"/>
              <w:marBottom w:val="0"/>
              <w:divBdr>
                <w:top w:val="none" w:sz="0" w:space="0" w:color="auto"/>
                <w:left w:val="none" w:sz="0" w:space="0" w:color="auto"/>
                <w:bottom w:val="none" w:sz="0" w:space="0" w:color="auto"/>
                <w:right w:val="none" w:sz="0" w:space="0" w:color="auto"/>
              </w:divBdr>
              <w:divsChild>
                <w:div w:id="4545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ligious-studies.net/wp-content/uploads/2018/09/RRE-Study-Plan-2017-Apr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558</Words>
  <Characters>2958</Characters>
  <Application>Microsoft Office Word</Application>
  <DocSecurity>0</DocSecurity>
  <Lines>24</Lines>
  <Paragraphs>7</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SSSR Kansas City 2004 (18 min)</vt:lpstr>
      <vt:lpstr>SSSR Kansas City 2004 (18 min)</vt:lpstr>
      <vt:lpstr>        The Emergence of Judaism, Christianity and Islam (TRVN11)</vt:lpstr>
    </vt:vector>
  </TitlesOfParts>
  <Company>Kesef Information</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SSSR Kansas City 2004 (18 min)</dc:title>
  <dc:subject/>
  <dc:creator>Karin Zetterholm</dc:creator>
  <cp:keywords/>
  <cp:lastModifiedBy>Katarina Pålsson</cp:lastModifiedBy>
  <cp:revision>8</cp:revision>
  <cp:lastPrinted>2014-04-06T09:23:00Z</cp:lastPrinted>
  <dcterms:created xsi:type="dcterms:W3CDTF">2024-05-24T08:11:00Z</dcterms:created>
  <dcterms:modified xsi:type="dcterms:W3CDTF">2024-06-04T08:45:00Z</dcterms:modified>
</cp:coreProperties>
</file>