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0450" w14:textId="77777777" w:rsidR="00D55D82" w:rsidRDefault="00D55D82" w:rsidP="00D55D82">
      <w:pPr>
        <w:pStyle w:val="Default"/>
        <w:spacing w:before="100" w:after="100"/>
        <w:rPr>
          <w:rFonts w:asciiTheme="majorBidi" w:hAnsiTheme="majorBidi" w:cstheme="majorBidi"/>
          <w:b/>
          <w:bCs/>
          <w:sz w:val="23"/>
          <w:szCs w:val="23"/>
          <w:lang w:val="en-US"/>
        </w:rPr>
      </w:pPr>
      <w:r w:rsidRPr="00D55D82">
        <w:rPr>
          <w:rFonts w:asciiTheme="majorBidi" w:hAnsiTheme="majorBidi" w:cstheme="majorBidi"/>
          <w:b/>
          <w:bCs/>
          <w:sz w:val="23"/>
          <w:szCs w:val="23"/>
          <w:lang w:val="en-US"/>
        </w:rPr>
        <w:t xml:space="preserve">Text, Islamic Tradition (10 ECTS) </w:t>
      </w:r>
    </w:p>
    <w:p w14:paraId="078E2DE8" w14:textId="713C1869" w:rsidR="00D55D82" w:rsidRP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Course content </w:t>
      </w:r>
      <w:r w:rsidR="003D6227">
        <w:rPr>
          <w:rFonts w:asciiTheme="majorBidi" w:hAnsiTheme="majorBidi" w:cstheme="majorBidi"/>
          <w:b/>
          <w:bCs/>
          <w:sz w:val="23"/>
          <w:szCs w:val="23"/>
          <w:lang w:val="en-US"/>
        </w:rPr>
        <w:br/>
      </w:r>
      <w:r w:rsidRPr="00D55D82">
        <w:rPr>
          <w:rFonts w:asciiTheme="majorBidi" w:hAnsiTheme="majorBidi" w:cstheme="majorBidi"/>
          <w:sz w:val="23"/>
          <w:szCs w:val="23"/>
          <w:lang w:val="en-US"/>
        </w:rPr>
        <w:t xml:space="preserve">The course will provide familiarity with the text of the </w:t>
      </w:r>
      <w:proofErr w:type="spellStart"/>
      <w:r w:rsidRPr="00D55D82">
        <w:rPr>
          <w:rFonts w:asciiTheme="majorBidi" w:hAnsiTheme="majorBidi" w:cstheme="majorBidi"/>
          <w:sz w:val="23"/>
          <w:szCs w:val="23"/>
          <w:lang w:val="en-US"/>
        </w:rPr>
        <w:t>Qurʾān</w:t>
      </w:r>
      <w:proofErr w:type="spellEnd"/>
      <w:r w:rsidRPr="00D55D82">
        <w:rPr>
          <w:rFonts w:asciiTheme="majorBidi" w:hAnsiTheme="majorBidi" w:cstheme="majorBidi"/>
          <w:sz w:val="23"/>
          <w:szCs w:val="23"/>
          <w:lang w:val="en-US"/>
        </w:rPr>
        <w:t xml:space="preserve"> and skill in the analysis and interpretation of individual passages based on the Arabic text. Throughout the course, the focus on language and rhetoric will be given priority over and above historical contextualization. A number of important passages will be studied in detail. The course will simultaneously provide introduction to current philological scholarship on the </w:t>
      </w:r>
      <w:proofErr w:type="spellStart"/>
      <w:r w:rsidRPr="00D55D82">
        <w:rPr>
          <w:rFonts w:asciiTheme="majorBidi" w:hAnsiTheme="majorBidi" w:cstheme="majorBidi"/>
          <w:sz w:val="23"/>
          <w:szCs w:val="23"/>
          <w:lang w:val="en-US"/>
        </w:rPr>
        <w:t>Qurʾān</w:t>
      </w:r>
      <w:proofErr w:type="spellEnd"/>
      <w:r w:rsidRPr="00D55D82">
        <w:rPr>
          <w:rFonts w:asciiTheme="majorBidi" w:hAnsiTheme="majorBidi" w:cstheme="majorBidi"/>
          <w:sz w:val="23"/>
          <w:szCs w:val="23"/>
          <w:lang w:val="en-US"/>
        </w:rPr>
        <w:t xml:space="preserve">. At the end of the course, some introduction to the reading of </w:t>
      </w:r>
      <w:proofErr w:type="spellStart"/>
      <w:r w:rsidRPr="00D55D82">
        <w:rPr>
          <w:rFonts w:asciiTheme="majorBidi" w:hAnsiTheme="majorBidi" w:cstheme="majorBidi"/>
          <w:sz w:val="23"/>
          <w:szCs w:val="23"/>
          <w:lang w:val="en-US"/>
        </w:rPr>
        <w:t>ḥadīth</w:t>
      </w:r>
      <w:proofErr w:type="spellEnd"/>
      <w:r w:rsidRPr="00D55D82">
        <w:rPr>
          <w:rFonts w:asciiTheme="majorBidi" w:hAnsiTheme="majorBidi" w:cstheme="majorBidi"/>
          <w:sz w:val="23"/>
          <w:szCs w:val="23"/>
          <w:lang w:val="en-US"/>
        </w:rPr>
        <w:t xml:space="preserve"> texts will be provided. </w:t>
      </w:r>
    </w:p>
    <w:p w14:paraId="7483E3A3" w14:textId="77777777" w:rsidR="00D55D82" w:rsidRDefault="00D55D82" w:rsidP="00D55D82">
      <w:pPr>
        <w:pStyle w:val="Default"/>
        <w:spacing w:before="100" w:after="100"/>
        <w:rPr>
          <w:rFonts w:asciiTheme="majorBidi" w:hAnsiTheme="majorBidi" w:cstheme="majorBidi"/>
          <w:b/>
          <w:bCs/>
          <w:sz w:val="23"/>
          <w:szCs w:val="23"/>
          <w:lang w:val="en-US"/>
        </w:rPr>
      </w:pPr>
      <w:r w:rsidRPr="00D55D82">
        <w:rPr>
          <w:rFonts w:asciiTheme="majorBidi" w:hAnsiTheme="majorBidi" w:cstheme="majorBidi"/>
          <w:b/>
          <w:bCs/>
          <w:sz w:val="23"/>
          <w:szCs w:val="23"/>
          <w:lang w:val="en-US"/>
        </w:rPr>
        <w:t xml:space="preserve">Time period </w:t>
      </w:r>
    </w:p>
    <w:p w14:paraId="02C0D390" w14:textId="340F3E80" w:rsidR="00D55D82" w:rsidRPr="00D55D82" w:rsidRDefault="00D55D82" w:rsidP="00B94DCE">
      <w:pPr>
        <w:pStyle w:val="Default"/>
        <w:spacing w:before="100" w:after="10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Teaching: week 36-50. Allowance will be made for Compact seminar in Oslo September </w:t>
      </w:r>
      <w:r w:rsidR="00B86B0E">
        <w:rPr>
          <w:rFonts w:asciiTheme="majorBidi" w:hAnsiTheme="majorBidi" w:cstheme="majorBidi"/>
          <w:sz w:val="23"/>
          <w:szCs w:val="23"/>
          <w:lang w:val="en-US"/>
        </w:rPr>
        <w:t>1</w:t>
      </w:r>
      <w:r w:rsidR="003450D6">
        <w:rPr>
          <w:rFonts w:asciiTheme="majorBidi" w:hAnsiTheme="majorBidi" w:cstheme="majorBidi"/>
          <w:sz w:val="23"/>
          <w:szCs w:val="23"/>
          <w:lang w:val="en-US"/>
        </w:rPr>
        <w:t>4</w:t>
      </w:r>
      <w:r w:rsidRPr="00D55D82">
        <w:rPr>
          <w:rFonts w:asciiTheme="majorBidi" w:hAnsiTheme="majorBidi" w:cstheme="majorBidi"/>
          <w:sz w:val="23"/>
          <w:szCs w:val="23"/>
          <w:lang w:val="en-US"/>
        </w:rPr>
        <w:t>-</w:t>
      </w:r>
      <w:r w:rsidR="006E0EA9">
        <w:rPr>
          <w:rFonts w:asciiTheme="majorBidi" w:hAnsiTheme="majorBidi" w:cstheme="majorBidi"/>
          <w:sz w:val="23"/>
          <w:szCs w:val="23"/>
          <w:lang w:val="en-US"/>
        </w:rPr>
        <w:t>1</w:t>
      </w:r>
      <w:r w:rsidR="003450D6">
        <w:rPr>
          <w:rFonts w:asciiTheme="majorBidi" w:hAnsiTheme="majorBidi" w:cstheme="majorBidi"/>
          <w:sz w:val="23"/>
          <w:szCs w:val="23"/>
          <w:lang w:val="en-US"/>
        </w:rPr>
        <w:t>8</w:t>
      </w:r>
      <w:r w:rsidRPr="00D55D82">
        <w:rPr>
          <w:rFonts w:asciiTheme="majorBidi" w:hAnsiTheme="majorBidi" w:cstheme="majorBidi"/>
          <w:sz w:val="23"/>
          <w:szCs w:val="23"/>
          <w:lang w:val="en-US"/>
        </w:rPr>
        <w:t xml:space="preserve"> (</w:t>
      </w:r>
      <w:r w:rsidR="003401FE">
        <w:rPr>
          <w:rFonts w:asciiTheme="majorBidi" w:hAnsiTheme="majorBidi" w:cstheme="majorBidi"/>
          <w:sz w:val="23"/>
          <w:szCs w:val="23"/>
          <w:lang w:val="en-US"/>
        </w:rPr>
        <w:t>i.e. no course activity during this week</w:t>
      </w:r>
      <w:r w:rsidRPr="00D55D82">
        <w:rPr>
          <w:rFonts w:asciiTheme="majorBidi" w:hAnsiTheme="majorBidi" w:cstheme="majorBidi"/>
          <w:sz w:val="23"/>
          <w:szCs w:val="23"/>
          <w:lang w:val="en-US"/>
        </w:rPr>
        <w:t xml:space="preserve">). Compact seminar: Lund, November </w:t>
      </w:r>
      <w:r w:rsidR="003450D6">
        <w:rPr>
          <w:rFonts w:asciiTheme="majorBidi" w:hAnsiTheme="majorBidi" w:cstheme="majorBidi"/>
          <w:sz w:val="23"/>
          <w:szCs w:val="23"/>
          <w:lang w:val="en-US"/>
        </w:rPr>
        <w:t>4-</w:t>
      </w:r>
      <w:r w:rsidR="00B86B0E">
        <w:rPr>
          <w:rFonts w:asciiTheme="majorBidi" w:hAnsiTheme="majorBidi" w:cstheme="majorBidi"/>
          <w:sz w:val="23"/>
          <w:szCs w:val="23"/>
          <w:lang w:val="en-US"/>
        </w:rPr>
        <w:t>5</w:t>
      </w:r>
      <w:r w:rsidRPr="00D55D82">
        <w:rPr>
          <w:rFonts w:asciiTheme="majorBidi" w:hAnsiTheme="majorBidi" w:cstheme="majorBidi"/>
          <w:sz w:val="23"/>
          <w:szCs w:val="23"/>
          <w:lang w:val="en-US"/>
        </w:rPr>
        <w:t xml:space="preserve">. </w:t>
      </w:r>
    </w:p>
    <w:p w14:paraId="3A80EBCB" w14:textId="03E2FBF4"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Exam: </w:t>
      </w:r>
      <w:r>
        <w:rPr>
          <w:rFonts w:asciiTheme="majorBidi" w:hAnsiTheme="majorBidi" w:cstheme="majorBidi"/>
          <w:sz w:val="23"/>
          <w:szCs w:val="23"/>
          <w:lang w:val="en-US"/>
        </w:rPr>
        <w:t xml:space="preserve">Digital Exam. </w:t>
      </w:r>
      <w:r w:rsidRPr="00D55D82">
        <w:rPr>
          <w:rFonts w:asciiTheme="majorBidi" w:hAnsiTheme="majorBidi" w:cstheme="majorBidi"/>
          <w:sz w:val="23"/>
          <w:szCs w:val="23"/>
          <w:lang w:val="en-US"/>
        </w:rPr>
        <w:t xml:space="preserve">Paper to be handed in no later than December </w:t>
      </w:r>
      <w:r w:rsidR="003450D6">
        <w:rPr>
          <w:rFonts w:asciiTheme="majorBidi" w:hAnsiTheme="majorBidi" w:cstheme="majorBidi"/>
          <w:sz w:val="23"/>
          <w:szCs w:val="23"/>
          <w:lang w:val="en-US"/>
        </w:rPr>
        <w:t>21</w:t>
      </w:r>
      <w:r w:rsidRPr="00D55D82">
        <w:rPr>
          <w:rFonts w:asciiTheme="majorBidi" w:hAnsiTheme="majorBidi" w:cstheme="majorBidi"/>
          <w:sz w:val="23"/>
          <w:szCs w:val="23"/>
          <w:lang w:val="en-US"/>
        </w:rPr>
        <w:t xml:space="preserve"> (question posted December </w:t>
      </w:r>
      <w:r w:rsidR="003450D6">
        <w:rPr>
          <w:rFonts w:asciiTheme="majorBidi" w:hAnsiTheme="majorBidi" w:cstheme="majorBidi"/>
          <w:sz w:val="23"/>
          <w:szCs w:val="23"/>
          <w:lang w:val="en-US"/>
        </w:rPr>
        <w:t>14</w:t>
      </w:r>
      <w:r w:rsidRPr="00D55D82">
        <w:rPr>
          <w:rFonts w:asciiTheme="majorBidi" w:hAnsiTheme="majorBidi" w:cstheme="majorBidi"/>
          <w:sz w:val="23"/>
          <w:szCs w:val="23"/>
          <w:lang w:val="en-US"/>
        </w:rPr>
        <w:t xml:space="preserve">) </w:t>
      </w:r>
    </w:p>
    <w:p w14:paraId="7EE2923A" w14:textId="1A3F3C44" w:rsidR="00D55D82" w:rsidRP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Responsible teacher and institution </w:t>
      </w:r>
      <w:r w:rsidR="003450D6">
        <w:rPr>
          <w:rFonts w:asciiTheme="majorBidi" w:hAnsiTheme="majorBidi" w:cstheme="majorBidi"/>
          <w:sz w:val="23"/>
          <w:szCs w:val="23"/>
          <w:lang w:val="en-US"/>
        </w:rPr>
        <w:t>Jan Loop and Martin Ehrensvärd</w:t>
      </w:r>
      <w:r w:rsidRPr="00D55D82">
        <w:rPr>
          <w:rFonts w:asciiTheme="majorBidi" w:hAnsiTheme="majorBidi" w:cstheme="majorBidi"/>
          <w:sz w:val="23"/>
          <w:szCs w:val="23"/>
          <w:lang w:val="en-US"/>
        </w:rPr>
        <w:t xml:space="preserve">, Faculty of Theology, University of Copenhagen </w:t>
      </w:r>
    </w:p>
    <w:p w14:paraId="5510B6DA" w14:textId="77777777" w:rsidR="00D55D82" w:rsidRDefault="00D55D82" w:rsidP="00D55D82">
      <w:pPr>
        <w:pStyle w:val="Default"/>
        <w:rPr>
          <w:rFonts w:asciiTheme="majorBidi" w:hAnsiTheme="majorBidi" w:cstheme="majorBidi"/>
          <w:b/>
          <w:bCs/>
          <w:sz w:val="23"/>
          <w:szCs w:val="23"/>
          <w:lang w:val="en-US"/>
        </w:rPr>
      </w:pPr>
    </w:p>
    <w:p w14:paraId="7D43A5BA" w14:textId="090503F7"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b/>
          <w:bCs/>
          <w:sz w:val="23"/>
          <w:szCs w:val="23"/>
          <w:lang w:val="en-US"/>
        </w:rPr>
        <w:t>Learning outcome</w:t>
      </w:r>
      <w:r w:rsidR="00062762">
        <w:rPr>
          <w:rFonts w:asciiTheme="majorBidi" w:hAnsiTheme="majorBidi" w:cstheme="majorBidi"/>
          <w:b/>
          <w:bCs/>
          <w:sz w:val="23"/>
          <w:szCs w:val="23"/>
          <w:lang w:val="en-US"/>
        </w:rPr>
        <w:t>:</w:t>
      </w:r>
      <w:r w:rsidRPr="00D55D82">
        <w:rPr>
          <w:rFonts w:asciiTheme="majorBidi" w:hAnsiTheme="majorBidi" w:cstheme="majorBidi"/>
          <w:b/>
          <w:bCs/>
          <w:sz w:val="23"/>
          <w:szCs w:val="23"/>
          <w:lang w:val="en-US"/>
        </w:rPr>
        <w:t xml:space="preserve"> </w:t>
      </w:r>
      <w:r w:rsidRPr="00D55D82">
        <w:rPr>
          <w:rFonts w:asciiTheme="majorBidi" w:hAnsiTheme="majorBidi" w:cstheme="majorBidi"/>
          <w:sz w:val="23"/>
          <w:szCs w:val="23"/>
          <w:lang w:val="en-US"/>
        </w:rPr>
        <w:t xml:space="preserve">The student will acquire: </w:t>
      </w:r>
    </w:p>
    <w:p w14:paraId="2739DD4A" w14:textId="584C8016"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Advanced knowledge of an important theme or an important text within one of the three religious traditions. </w:t>
      </w:r>
    </w:p>
    <w:p w14:paraId="71EB1827" w14:textId="77777777"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Advanced knowledge of the history of scholarship on formative Judaism, Christianity or Islam pertaining to an important theme or text in one of these traditions. </w:t>
      </w:r>
    </w:p>
    <w:p w14:paraId="630A79D1" w14:textId="77777777"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Skills in </w:t>
      </w:r>
      <w:proofErr w:type="spellStart"/>
      <w:r w:rsidRPr="00D55D82">
        <w:rPr>
          <w:rFonts w:asciiTheme="majorBidi" w:hAnsiTheme="majorBidi" w:cstheme="majorBidi"/>
          <w:sz w:val="23"/>
          <w:szCs w:val="23"/>
          <w:lang w:val="en-US"/>
        </w:rPr>
        <w:t>analysing</w:t>
      </w:r>
      <w:proofErr w:type="spellEnd"/>
      <w:r w:rsidRPr="00D55D82">
        <w:rPr>
          <w:rFonts w:asciiTheme="majorBidi" w:hAnsiTheme="majorBidi" w:cstheme="majorBidi"/>
          <w:sz w:val="23"/>
          <w:szCs w:val="23"/>
          <w:lang w:val="en-US"/>
        </w:rPr>
        <w:t xml:space="preserve">, discussing and interpreting primary source texts. </w:t>
      </w:r>
    </w:p>
    <w:p w14:paraId="23F02543" w14:textId="77777777"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The skills to communicate the acquired knowledge of the subject matter in writing. </w:t>
      </w:r>
    </w:p>
    <w:p w14:paraId="4ED2491D" w14:textId="77777777"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The competence to develop their own scholarly </w:t>
      </w:r>
      <w:proofErr w:type="spellStart"/>
      <w:r w:rsidRPr="00D55D82">
        <w:rPr>
          <w:rFonts w:asciiTheme="majorBidi" w:hAnsiTheme="majorBidi" w:cstheme="majorBidi"/>
          <w:sz w:val="23"/>
          <w:szCs w:val="23"/>
          <w:lang w:val="en-US"/>
        </w:rPr>
        <w:t>specialisation</w:t>
      </w:r>
      <w:proofErr w:type="spellEnd"/>
      <w:r w:rsidRPr="00D55D82">
        <w:rPr>
          <w:rFonts w:asciiTheme="majorBidi" w:hAnsiTheme="majorBidi" w:cstheme="majorBidi"/>
          <w:sz w:val="23"/>
          <w:szCs w:val="23"/>
          <w:lang w:val="en-US"/>
        </w:rPr>
        <w:t xml:space="preserve"> and to navigate with confidence in interdisciplinary, complex and unpredictable academic processes in professional and academic settings. </w:t>
      </w:r>
    </w:p>
    <w:p w14:paraId="744BCC34" w14:textId="77777777" w:rsidR="00D55D82" w:rsidRPr="00D55D82" w:rsidRDefault="00D55D82" w:rsidP="00D55D82">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The competence to actively participate in innovative scholarly work. </w:t>
      </w:r>
    </w:p>
    <w:p w14:paraId="1AE5CB99" w14:textId="77777777" w:rsidR="00D55D82" w:rsidRP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Prerequisites </w:t>
      </w:r>
      <w:r w:rsidRPr="00D55D82">
        <w:rPr>
          <w:rFonts w:asciiTheme="majorBidi" w:hAnsiTheme="majorBidi" w:cstheme="majorBidi"/>
          <w:sz w:val="23"/>
          <w:szCs w:val="23"/>
          <w:lang w:val="en-US"/>
        </w:rPr>
        <w:t xml:space="preserve">In addition to the general requirements for the program, a minimum of 10 ECTS of Arabic </w:t>
      </w:r>
    </w:p>
    <w:p w14:paraId="7CC064DA" w14:textId="77777777" w:rsidR="00D55D82" w:rsidRP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Form of teaching; course activities </w:t>
      </w:r>
    </w:p>
    <w:p w14:paraId="7BE9E8D7" w14:textId="77777777" w:rsidR="00D55D82" w:rsidRP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The teaching will combine: </w:t>
      </w:r>
    </w:p>
    <w:p w14:paraId="579684CD" w14:textId="77777777" w:rsidR="00D55D82" w:rsidRPr="00D55D82" w:rsidRDefault="00D55D82" w:rsidP="00D55D82">
      <w:pPr>
        <w:pStyle w:val="Default"/>
        <w:spacing w:before="100" w:after="100"/>
        <w:ind w:left="72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Compact seminar (see above for more details). </w:t>
      </w:r>
    </w:p>
    <w:p w14:paraId="4471A0B0" w14:textId="77777777" w:rsidR="00D55D82" w:rsidRPr="00D55D82" w:rsidRDefault="00D55D82" w:rsidP="00D55D82">
      <w:pPr>
        <w:pStyle w:val="Default"/>
        <w:spacing w:before="100" w:after="100"/>
        <w:ind w:left="72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Distance learning </w:t>
      </w:r>
    </w:p>
    <w:p w14:paraId="562E4F36" w14:textId="77777777" w:rsidR="00D55D82" w:rsidRPr="00D55D82" w:rsidRDefault="00D55D82" w:rsidP="003401FE">
      <w:pPr>
        <w:pStyle w:val="Default"/>
        <w:spacing w:before="100" w:after="100"/>
        <w:ind w:left="72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Tutorials </w:t>
      </w:r>
    </w:p>
    <w:p w14:paraId="426684F9" w14:textId="77777777" w:rsidR="001A6D46" w:rsidRDefault="00D55D82" w:rsidP="001A6D46">
      <w:pPr>
        <w:pStyle w:val="Default"/>
        <w:rPr>
          <w:rFonts w:asciiTheme="majorBidi" w:hAnsiTheme="majorBidi" w:cstheme="majorBidi"/>
          <w:sz w:val="23"/>
          <w:szCs w:val="23"/>
          <w:lang w:val="en-US"/>
        </w:rPr>
      </w:pPr>
      <w:r w:rsidRPr="00D55D82">
        <w:rPr>
          <w:rFonts w:asciiTheme="majorBidi" w:hAnsiTheme="majorBidi" w:cstheme="majorBidi"/>
          <w:b/>
          <w:bCs/>
          <w:sz w:val="23"/>
          <w:szCs w:val="23"/>
          <w:lang w:val="en-US"/>
        </w:rPr>
        <w:t>Required reading</w:t>
      </w:r>
      <w:r w:rsidR="00062762">
        <w:rPr>
          <w:rFonts w:asciiTheme="majorBidi" w:hAnsiTheme="majorBidi" w:cstheme="majorBidi"/>
          <w:b/>
          <w:bCs/>
          <w:sz w:val="23"/>
          <w:szCs w:val="23"/>
          <w:lang w:val="en-US"/>
        </w:rPr>
        <w:t>:</w:t>
      </w:r>
      <w:r w:rsidRPr="00D55D82">
        <w:rPr>
          <w:rFonts w:asciiTheme="majorBidi" w:hAnsiTheme="majorBidi" w:cstheme="majorBidi"/>
          <w:b/>
          <w:bCs/>
          <w:sz w:val="23"/>
          <w:szCs w:val="23"/>
          <w:lang w:val="en-US"/>
        </w:rPr>
        <w:t xml:space="preserve"> </w:t>
      </w:r>
      <w:r w:rsidRPr="00D55D82">
        <w:rPr>
          <w:rFonts w:asciiTheme="majorBidi" w:hAnsiTheme="majorBidi" w:cstheme="majorBidi"/>
          <w:sz w:val="23"/>
          <w:szCs w:val="23"/>
          <w:lang w:val="en-US"/>
        </w:rPr>
        <w:t>The syllabus will include: * No more than 30 pages of primary texts in Arabic.</w:t>
      </w:r>
    </w:p>
    <w:p w14:paraId="5A31A289" w14:textId="1708A9CB" w:rsidR="00D55D82" w:rsidRPr="00D55D82" w:rsidRDefault="00D55D82" w:rsidP="001A6D46">
      <w:pPr>
        <w:pStyle w:val="Default"/>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Approximately 1000 pages of secondary scholarly literature and primary texts in translation defined by the teacher before the beginning of the term. </w:t>
      </w:r>
    </w:p>
    <w:p w14:paraId="3D3547E6" w14:textId="7E26CB0C" w:rsid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Syllabus </w:t>
      </w:r>
      <w:r w:rsidRPr="00D55D82">
        <w:rPr>
          <w:rFonts w:asciiTheme="majorBidi" w:hAnsiTheme="majorBidi" w:cstheme="majorBidi"/>
          <w:sz w:val="23"/>
          <w:szCs w:val="23"/>
          <w:lang w:val="en-US"/>
        </w:rPr>
        <w:t xml:space="preserve">(subject to minor revisions) </w:t>
      </w:r>
    </w:p>
    <w:p w14:paraId="314895FA" w14:textId="77777777" w:rsidR="00324295" w:rsidRPr="00D55D82" w:rsidRDefault="00324295" w:rsidP="00D55D82">
      <w:pPr>
        <w:pStyle w:val="Default"/>
        <w:spacing w:before="100" w:after="100"/>
        <w:rPr>
          <w:rFonts w:asciiTheme="majorBidi" w:hAnsiTheme="majorBidi" w:cstheme="majorBidi"/>
          <w:sz w:val="23"/>
          <w:szCs w:val="23"/>
          <w:lang w:val="en-US"/>
        </w:rPr>
      </w:pPr>
    </w:p>
    <w:p w14:paraId="40140C22" w14:textId="77777777" w:rsidR="00D55D82" w:rsidRPr="00D55D82" w:rsidRDefault="00D55D82" w:rsidP="00D55D82">
      <w:pPr>
        <w:pStyle w:val="Default"/>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Abbreviations: </w:t>
      </w:r>
    </w:p>
    <w:p w14:paraId="5C225C6D"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ArQ</w:t>
      </w:r>
      <w:proofErr w:type="spellEnd"/>
      <w:r w:rsidRPr="00D55D82">
        <w:rPr>
          <w:rFonts w:asciiTheme="majorBidi" w:hAnsiTheme="majorBidi" w:cstheme="majorBidi"/>
          <w:sz w:val="23"/>
          <w:szCs w:val="23"/>
          <w:lang w:val="en-US"/>
        </w:rPr>
        <w:t xml:space="preserve"> = Jones, Alan: </w:t>
      </w:r>
      <w:r w:rsidRPr="00D55D82">
        <w:rPr>
          <w:rFonts w:asciiTheme="majorBidi" w:hAnsiTheme="majorBidi" w:cstheme="majorBidi"/>
          <w:i/>
          <w:iCs/>
          <w:sz w:val="23"/>
          <w:szCs w:val="23"/>
          <w:lang w:val="en-US"/>
        </w:rPr>
        <w:t xml:space="preserve">Arabic Through the Qur’ān </w:t>
      </w:r>
      <w:r w:rsidRPr="00D55D82">
        <w:rPr>
          <w:rFonts w:asciiTheme="majorBidi" w:hAnsiTheme="majorBidi" w:cstheme="majorBidi"/>
          <w:sz w:val="23"/>
          <w:szCs w:val="23"/>
          <w:lang w:val="en-US"/>
        </w:rPr>
        <w:t xml:space="preserve">(The Islamic Texts Society: Cambridge, 2005) </w:t>
      </w:r>
    </w:p>
    <w:p w14:paraId="2D40A6E7"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ACoDiKA</w:t>
      </w:r>
      <w:proofErr w:type="spellEnd"/>
      <w:r w:rsidRPr="00D55D82">
        <w:rPr>
          <w:rFonts w:asciiTheme="majorBidi" w:hAnsiTheme="majorBidi" w:cstheme="majorBidi"/>
          <w:sz w:val="23"/>
          <w:szCs w:val="23"/>
          <w:lang w:val="en-US"/>
        </w:rPr>
        <w:t xml:space="preserve"> = Ambros, Arne et al., </w:t>
      </w:r>
      <w:r w:rsidRPr="00D55D82">
        <w:rPr>
          <w:rFonts w:asciiTheme="majorBidi" w:hAnsiTheme="majorBidi" w:cstheme="majorBidi"/>
          <w:i/>
          <w:iCs/>
          <w:sz w:val="23"/>
          <w:szCs w:val="23"/>
          <w:lang w:val="en-US"/>
        </w:rPr>
        <w:t xml:space="preserve">A Concise Dictionary of Koranic Arabic </w:t>
      </w:r>
      <w:r w:rsidRPr="00D55D82">
        <w:rPr>
          <w:rFonts w:asciiTheme="majorBidi" w:hAnsiTheme="majorBidi" w:cstheme="majorBidi"/>
          <w:sz w:val="23"/>
          <w:szCs w:val="23"/>
          <w:lang w:val="en-US"/>
        </w:rPr>
        <w:t xml:space="preserve">(Reichert: Wiesbaden, 2004) </w:t>
      </w:r>
    </w:p>
    <w:p w14:paraId="244FB593"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rPr>
        <w:lastRenderedPageBreak/>
        <w:t xml:space="preserve">• EALL = </w:t>
      </w:r>
      <w:proofErr w:type="spellStart"/>
      <w:r w:rsidRPr="00D55D82">
        <w:rPr>
          <w:rFonts w:asciiTheme="majorBidi" w:hAnsiTheme="majorBidi" w:cstheme="majorBidi"/>
          <w:sz w:val="23"/>
          <w:szCs w:val="23"/>
        </w:rPr>
        <w:t>Versteegh</w:t>
      </w:r>
      <w:proofErr w:type="spellEnd"/>
      <w:r w:rsidRPr="00D55D82">
        <w:rPr>
          <w:rFonts w:asciiTheme="majorBidi" w:hAnsiTheme="majorBidi" w:cstheme="majorBidi"/>
          <w:sz w:val="23"/>
          <w:szCs w:val="23"/>
        </w:rPr>
        <w:t xml:space="preserve">, Kees et al. </w:t>
      </w:r>
      <w:r w:rsidRPr="00D55D82">
        <w:rPr>
          <w:rFonts w:asciiTheme="majorBidi" w:hAnsiTheme="majorBidi" w:cstheme="majorBidi"/>
          <w:sz w:val="23"/>
          <w:szCs w:val="23"/>
          <w:lang w:val="en-US"/>
        </w:rPr>
        <w:t xml:space="preserve">(eds.), </w:t>
      </w:r>
      <w:r w:rsidRPr="00D55D82">
        <w:rPr>
          <w:rFonts w:asciiTheme="majorBidi" w:hAnsiTheme="majorBidi" w:cstheme="majorBidi"/>
          <w:i/>
          <w:iCs/>
          <w:sz w:val="23"/>
          <w:szCs w:val="23"/>
          <w:lang w:val="en-US"/>
        </w:rPr>
        <w:t xml:space="preserve">Encyclopedia of Arabic Language and Linguistics </w:t>
      </w:r>
      <w:r w:rsidRPr="00D55D82">
        <w:rPr>
          <w:rFonts w:asciiTheme="majorBidi" w:hAnsiTheme="majorBidi" w:cstheme="majorBidi"/>
          <w:sz w:val="23"/>
          <w:szCs w:val="23"/>
          <w:lang w:val="en-US"/>
        </w:rPr>
        <w:t xml:space="preserve">(Brill: Leiden, 2011) </w:t>
      </w:r>
    </w:p>
    <w:p w14:paraId="2CBDFC98" w14:textId="533976A5" w:rsidR="00D55D82" w:rsidRPr="00D55D82" w:rsidRDefault="00D55D82" w:rsidP="0014201D">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rPr>
        <w:t xml:space="preserve">• </w:t>
      </w:r>
      <w:proofErr w:type="spellStart"/>
      <w:r w:rsidRPr="00D55D82">
        <w:rPr>
          <w:rFonts w:asciiTheme="majorBidi" w:hAnsiTheme="majorBidi" w:cstheme="majorBidi"/>
          <w:sz w:val="23"/>
          <w:szCs w:val="23"/>
        </w:rPr>
        <w:t>QuC</w:t>
      </w:r>
      <w:proofErr w:type="spellEnd"/>
      <w:r w:rsidRPr="00D55D82">
        <w:rPr>
          <w:rFonts w:asciiTheme="majorBidi" w:hAnsiTheme="majorBidi" w:cstheme="majorBidi"/>
          <w:sz w:val="23"/>
          <w:szCs w:val="23"/>
        </w:rPr>
        <w:t xml:space="preserve"> = A. </w:t>
      </w:r>
      <w:proofErr w:type="spellStart"/>
      <w:r w:rsidRPr="00D55D82">
        <w:rPr>
          <w:rFonts w:asciiTheme="majorBidi" w:hAnsiTheme="majorBidi" w:cstheme="majorBidi"/>
          <w:sz w:val="23"/>
          <w:szCs w:val="23"/>
        </w:rPr>
        <w:t>Neuwirth</w:t>
      </w:r>
      <w:proofErr w:type="spellEnd"/>
      <w:r w:rsidRPr="00D55D82">
        <w:rPr>
          <w:rFonts w:asciiTheme="majorBidi" w:hAnsiTheme="majorBidi" w:cstheme="majorBidi"/>
          <w:sz w:val="23"/>
          <w:szCs w:val="23"/>
        </w:rPr>
        <w:t xml:space="preserve"> et al. </w:t>
      </w:r>
      <w:r w:rsidRPr="00D55D82">
        <w:rPr>
          <w:rFonts w:asciiTheme="majorBidi" w:hAnsiTheme="majorBidi" w:cstheme="majorBidi"/>
          <w:sz w:val="23"/>
          <w:szCs w:val="23"/>
          <w:lang w:val="en-US"/>
        </w:rPr>
        <w:t xml:space="preserve">(eds.), </w:t>
      </w:r>
      <w:r w:rsidRPr="00D55D82">
        <w:rPr>
          <w:rFonts w:asciiTheme="majorBidi" w:hAnsiTheme="majorBidi" w:cstheme="majorBidi"/>
          <w:i/>
          <w:iCs/>
          <w:sz w:val="23"/>
          <w:szCs w:val="23"/>
          <w:lang w:val="en-US"/>
        </w:rPr>
        <w:t xml:space="preserve">The </w:t>
      </w:r>
      <w:proofErr w:type="spellStart"/>
      <w:r w:rsidRPr="00D55D82">
        <w:rPr>
          <w:rFonts w:asciiTheme="majorBidi" w:hAnsiTheme="majorBidi" w:cstheme="majorBidi"/>
          <w:i/>
          <w:iCs/>
          <w:sz w:val="23"/>
          <w:szCs w:val="23"/>
          <w:lang w:val="en-US"/>
        </w:rPr>
        <w:t>Qur’ân</w:t>
      </w:r>
      <w:proofErr w:type="spellEnd"/>
      <w:r w:rsidRPr="00D55D82">
        <w:rPr>
          <w:rFonts w:asciiTheme="majorBidi" w:hAnsiTheme="majorBidi" w:cstheme="majorBidi"/>
          <w:i/>
          <w:iCs/>
          <w:sz w:val="23"/>
          <w:szCs w:val="23"/>
          <w:lang w:val="en-US"/>
        </w:rPr>
        <w:t xml:space="preserve"> in Context </w:t>
      </w:r>
      <w:r w:rsidRPr="00D55D82">
        <w:rPr>
          <w:rFonts w:asciiTheme="majorBidi" w:hAnsiTheme="majorBidi" w:cstheme="majorBidi"/>
          <w:sz w:val="23"/>
          <w:szCs w:val="23"/>
          <w:lang w:val="en-US"/>
        </w:rPr>
        <w:t xml:space="preserve">(Brill: Leiden 2011) </w:t>
      </w:r>
    </w:p>
    <w:p w14:paraId="0F901861" w14:textId="77777777" w:rsidR="00D55D82" w:rsidRPr="00D55D82" w:rsidRDefault="00D55D82" w:rsidP="00D55D82">
      <w:pPr>
        <w:pStyle w:val="Default"/>
        <w:rPr>
          <w:rFonts w:asciiTheme="majorBidi" w:hAnsiTheme="majorBidi" w:cstheme="majorBidi"/>
          <w:sz w:val="23"/>
          <w:szCs w:val="23"/>
          <w:lang w:val="en-US"/>
        </w:rPr>
      </w:pPr>
    </w:p>
    <w:p w14:paraId="26040DD1" w14:textId="7DD49C77" w:rsidR="00D55D82" w:rsidRDefault="0014201D" w:rsidP="00D55D82">
      <w:pPr>
        <w:pStyle w:val="Default"/>
        <w:spacing w:after="240"/>
        <w:rPr>
          <w:rFonts w:asciiTheme="majorBidi" w:hAnsiTheme="majorBidi" w:cstheme="majorBidi"/>
          <w:b/>
          <w:bCs/>
          <w:sz w:val="23"/>
          <w:szCs w:val="23"/>
          <w:lang w:val="en-US"/>
        </w:rPr>
      </w:pPr>
      <w:r>
        <w:rPr>
          <w:rFonts w:asciiTheme="majorBidi" w:hAnsiTheme="majorBidi" w:cstheme="majorBidi"/>
          <w:b/>
          <w:bCs/>
          <w:sz w:val="23"/>
          <w:szCs w:val="23"/>
          <w:lang w:val="en-US"/>
        </w:rPr>
        <w:t>Textbooks</w:t>
      </w:r>
      <w:r w:rsidR="002C2FB8">
        <w:rPr>
          <w:rFonts w:asciiTheme="majorBidi" w:hAnsiTheme="majorBidi" w:cstheme="majorBidi"/>
          <w:b/>
          <w:bCs/>
          <w:sz w:val="23"/>
          <w:szCs w:val="23"/>
          <w:lang w:val="en-US"/>
        </w:rPr>
        <w:t xml:space="preserve"> </w:t>
      </w:r>
      <w:r w:rsidR="00324295">
        <w:rPr>
          <w:rFonts w:asciiTheme="majorBidi" w:hAnsiTheme="majorBidi" w:cstheme="majorBidi"/>
          <w:b/>
          <w:bCs/>
          <w:sz w:val="23"/>
          <w:szCs w:val="23"/>
          <w:lang w:val="en-US"/>
        </w:rPr>
        <w:t>(Quranic</w:t>
      </w:r>
      <w:r w:rsidR="002C2FB8">
        <w:rPr>
          <w:rFonts w:asciiTheme="majorBidi" w:hAnsiTheme="majorBidi" w:cstheme="majorBidi"/>
          <w:b/>
          <w:bCs/>
          <w:sz w:val="23"/>
          <w:szCs w:val="23"/>
          <w:lang w:val="en-US"/>
        </w:rPr>
        <w:t xml:space="preserve"> </w:t>
      </w:r>
      <w:r w:rsidR="00324295">
        <w:rPr>
          <w:rFonts w:asciiTheme="majorBidi" w:hAnsiTheme="majorBidi" w:cstheme="majorBidi"/>
          <w:b/>
          <w:bCs/>
          <w:sz w:val="23"/>
          <w:szCs w:val="23"/>
          <w:lang w:val="en-US"/>
        </w:rPr>
        <w:t xml:space="preserve">Grammar, </w:t>
      </w:r>
      <w:r w:rsidR="00290DF6">
        <w:rPr>
          <w:rFonts w:asciiTheme="majorBidi" w:hAnsiTheme="majorBidi" w:cstheme="majorBidi"/>
          <w:b/>
          <w:bCs/>
          <w:sz w:val="23"/>
          <w:szCs w:val="23"/>
          <w:lang w:val="en-US"/>
        </w:rPr>
        <w:t>lexicography</w:t>
      </w:r>
      <w:r w:rsidR="00324295">
        <w:rPr>
          <w:rFonts w:asciiTheme="majorBidi" w:hAnsiTheme="majorBidi" w:cstheme="majorBidi"/>
          <w:b/>
          <w:bCs/>
          <w:sz w:val="23"/>
          <w:szCs w:val="23"/>
          <w:lang w:val="en-US"/>
        </w:rPr>
        <w:t xml:space="preserve"> </w:t>
      </w:r>
      <w:r w:rsidR="002C2FB8">
        <w:rPr>
          <w:rFonts w:asciiTheme="majorBidi" w:hAnsiTheme="majorBidi" w:cstheme="majorBidi"/>
          <w:b/>
          <w:bCs/>
          <w:sz w:val="23"/>
          <w:szCs w:val="23"/>
          <w:lang w:val="en-US"/>
        </w:rPr>
        <w:t>and Semantics)</w:t>
      </w:r>
      <w:r>
        <w:rPr>
          <w:rFonts w:asciiTheme="majorBidi" w:hAnsiTheme="majorBidi" w:cstheme="majorBidi"/>
          <w:b/>
          <w:bCs/>
          <w:sz w:val="23"/>
          <w:szCs w:val="23"/>
          <w:lang w:val="en-US"/>
        </w:rPr>
        <w:t xml:space="preserve"> </w:t>
      </w:r>
    </w:p>
    <w:p w14:paraId="5D15C882" w14:textId="77777777" w:rsidR="00324295" w:rsidRDefault="00324295" w:rsidP="00324295">
      <w:pPr>
        <w:pStyle w:val="Default"/>
        <w:numPr>
          <w:ilvl w:val="0"/>
          <w:numId w:val="1"/>
        </w:numPr>
        <w:spacing w:after="24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Jones, Alan: </w:t>
      </w:r>
      <w:r w:rsidRPr="00D55D82">
        <w:rPr>
          <w:rFonts w:asciiTheme="majorBidi" w:hAnsiTheme="majorBidi" w:cstheme="majorBidi"/>
          <w:i/>
          <w:iCs/>
          <w:sz w:val="23"/>
          <w:szCs w:val="23"/>
          <w:lang w:val="en-US"/>
        </w:rPr>
        <w:t xml:space="preserve">Arabic Through the Qur’ān </w:t>
      </w:r>
      <w:r w:rsidRPr="00D55D82">
        <w:rPr>
          <w:rFonts w:asciiTheme="majorBidi" w:hAnsiTheme="majorBidi" w:cstheme="majorBidi"/>
          <w:sz w:val="23"/>
          <w:szCs w:val="23"/>
          <w:lang w:val="en-US"/>
        </w:rPr>
        <w:t>(The Islamic Texts Society: Cambridge, 2005)</w:t>
      </w:r>
    </w:p>
    <w:p w14:paraId="078AAB07" w14:textId="77777777" w:rsidR="00324295" w:rsidRDefault="00324295" w:rsidP="00324295">
      <w:pPr>
        <w:pStyle w:val="Default"/>
        <w:numPr>
          <w:ilvl w:val="0"/>
          <w:numId w:val="1"/>
        </w:numPr>
        <w:spacing w:after="240"/>
        <w:rPr>
          <w:rFonts w:asciiTheme="majorBidi" w:hAnsiTheme="majorBidi" w:cstheme="majorBidi"/>
          <w:sz w:val="23"/>
          <w:szCs w:val="23"/>
          <w:lang w:val="en-US"/>
        </w:rPr>
      </w:pPr>
      <w:r w:rsidRPr="00324295">
        <w:rPr>
          <w:rFonts w:asciiTheme="majorBidi" w:hAnsiTheme="majorBidi" w:cstheme="majorBidi"/>
          <w:sz w:val="23"/>
          <w:szCs w:val="23"/>
          <w:lang w:val="en-US"/>
        </w:rPr>
        <w:t xml:space="preserve">Ambros, Arne et al., </w:t>
      </w:r>
      <w:r w:rsidRPr="00324295">
        <w:rPr>
          <w:rFonts w:asciiTheme="majorBidi" w:hAnsiTheme="majorBidi" w:cstheme="majorBidi"/>
          <w:i/>
          <w:iCs/>
          <w:sz w:val="23"/>
          <w:szCs w:val="23"/>
          <w:lang w:val="en-US"/>
        </w:rPr>
        <w:t xml:space="preserve">A Concise Dictionary of Koranic Arabic </w:t>
      </w:r>
      <w:r w:rsidRPr="00324295">
        <w:rPr>
          <w:rFonts w:asciiTheme="majorBidi" w:hAnsiTheme="majorBidi" w:cstheme="majorBidi"/>
          <w:sz w:val="23"/>
          <w:szCs w:val="23"/>
          <w:lang w:val="en-US"/>
        </w:rPr>
        <w:t xml:space="preserve">(Reichert: Wiesbaden, 2004) </w:t>
      </w:r>
    </w:p>
    <w:p w14:paraId="10485CEF" w14:textId="1BB4EB0C" w:rsidR="00D55D82" w:rsidRDefault="00D55D82" w:rsidP="00324295">
      <w:pPr>
        <w:pStyle w:val="Default"/>
        <w:numPr>
          <w:ilvl w:val="0"/>
          <w:numId w:val="1"/>
        </w:numPr>
        <w:spacing w:after="240"/>
        <w:rPr>
          <w:rFonts w:asciiTheme="majorBidi" w:hAnsiTheme="majorBidi" w:cstheme="majorBidi"/>
          <w:sz w:val="23"/>
          <w:szCs w:val="23"/>
          <w:lang w:val="en-US"/>
        </w:rPr>
      </w:pPr>
      <w:r w:rsidRPr="00324295">
        <w:rPr>
          <w:rFonts w:asciiTheme="majorBidi" w:hAnsiTheme="majorBidi" w:cstheme="majorBidi"/>
          <w:sz w:val="23"/>
          <w:szCs w:val="23"/>
          <w:lang w:val="en-US"/>
        </w:rPr>
        <w:t>Younes, Munther,</w:t>
      </w:r>
      <w:r w:rsidR="0014201D" w:rsidRPr="00324295">
        <w:rPr>
          <w:rFonts w:asciiTheme="majorBidi" w:hAnsiTheme="majorBidi" w:cstheme="majorBidi"/>
          <w:sz w:val="23"/>
          <w:szCs w:val="23"/>
          <w:lang w:val="en-US"/>
        </w:rPr>
        <w:t xml:space="preserve"> </w:t>
      </w:r>
      <w:r w:rsidRPr="00324295">
        <w:rPr>
          <w:rFonts w:asciiTheme="majorBidi" w:hAnsiTheme="majorBidi" w:cstheme="majorBidi"/>
          <w:i/>
          <w:iCs/>
          <w:sz w:val="23"/>
          <w:szCs w:val="23"/>
          <w:lang w:val="en-US"/>
        </w:rPr>
        <w:t xml:space="preserve">The Routledge Introduction to Qur’anic Arabic </w:t>
      </w:r>
      <w:r w:rsidRPr="00324295">
        <w:rPr>
          <w:rFonts w:asciiTheme="majorBidi" w:hAnsiTheme="majorBidi" w:cstheme="majorBidi"/>
          <w:sz w:val="23"/>
          <w:szCs w:val="23"/>
          <w:lang w:val="en-US"/>
        </w:rPr>
        <w:t>(Routledge: New York, 2013)</w:t>
      </w:r>
    </w:p>
    <w:p w14:paraId="07DE8DB8" w14:textId="3A111B6A" w:rsidR="00D55D82" w:rsidRDefault="00D55D82" w:rsidP="00D55D82">
      <w:pPr>
        <w:pStyle w:val="Default"/>
        <w:rPr>
          <w:rFonts w:asciiTheme="majorBidi" w:hAnsiTheme="majorBidi" w:cstheme="majorBidi"/>
          <w:sz w:val="23"/>
          <w:szCs w:val="23"/>
          <w:lang w:val="fr-FR"/>
        </w:rPr>
      </w:pPr>
    </w:p>
    <w:p w14:paraId="3D557BE9" w14:textId="723220D0" w:rsidR="00290DF6" w:rsidRDefault="00290DF6" w:rsidP="00D55D82">
      <w:pPr>
        <w:pStyle w:val="Default"/>
        <w:rPr>
          <w:rFonts w:asciiTheme="majorBidi" w:hAnsiTheme="majorBidi" w:cstheme="majorBidi"/>
          <w:sz w:val="23"/>
          <w:szCs w:val="23"/>
          <w:lang w:val="en-US"/>
        </w:rPr>
      </w:pPr>
      <w:r w:rsidRPr="00290DF6">
        <w:rPr>
          <w:rFonts w:asciiTheme="majorBidi" w:hAnsiTheme="majorBidi" w:cstheme="majorBidi"/>
          <w:sz w:val="23"/>
          <w:szCs w:val="23"/>
          <w:lang w:val="en-US"/>
        </w:rPr>
        <w:t>Th</w:t>
      </w:r>
      <w:r>
        <w:rPr>
          <w:rFonts w:asciiTheme="majorBidi" w:hAnsiTheme="majorBidi" w:cstheme="majorBidi"/>
          <w:sz w:val="23"/>
          <w:szCs w:val="23"/>
          <w:lang w:val="en-US"/>
        </w:rPr>
        <w:t>ere are two parts in this course:</w:t>
      </w:r>
    </w:p>
    <w:p w14:paraId="0821C387" w14:textId="1256BE2E" w:rsidR="00290DF6" w:rsidRDefault="00290DF6" w:rsidP="00D55D82">
      <w:pPr>
        <w:pStyle w:val="Default"/>
        <w:rPr>
          <w:rFonts w:asciiTheme="majorBidi" w:hAnsiTheme="majorBidi" w:cstheme="majorBidi"/>
          <w:sz w:val="23"/>
          <w:szCs w:val="23"/>
          <w:lang w:val="en-US"/>
        </w:rPr>
      </w:pPr>
    </w:p>
    <w:p w14:paraId="24CA9DAA" w14:textId="12ED2B5C" w:rsidR="00290DF6" w:rsidRDefault="00F060FC" w:rsidP="00290DF6">
      <w:pPr>
        <w:pStyle w:val="Default"/>
        <w:numPr>
          <w:ilvl w:val="0"/>
          <w:numId w:val="2"/>
        </w:numPr>
        <w:rPr>
          <w:rFonts w:asciiTheme="majorBidi" w:hAnsiTheme="majorBidi" w:cstheme="majorBidi"/>
          <w:sz w:val="23"/>
          <w:szCs w:val="23"/>
          <w:lang w:val="en-US"/>
        </w:rPr>
      </w:pPr>
      <w:r>
        <w:rPr>
          <w:rFonts w:asciiTheme="majorBidi" w:hAnsiTheme="majorBidi" w:cstheme="majorBidi"/>
          <w:sz w:val="23"/>
          <w:szCs w:val="23"/>
          <w:lang w:val="en-US"/>
        </w:rPr>
        <w:t xml:space="preserve">9 </w:t>
      </w:r>
      <w:r w:rsidR="000001C4">
        <w:rPr>
          <w:rFonts w:asciiTheme="majorBidi" w:hAnsiTheme="majorBidi" w:cstheme="majorBidi"/>
          <w:sz w:val="23"/>
          <w:szCs w:val="23"/>
          <w:lang w:val="en-US"/>
        </w:rPr>
        <w:t>weeks online 2-hours teaching</w:t>
      </w:r>
      <w:r>
        <w:rPr>
          <w:rFonts w:asciiTheme="majorBidi" w:hAnsiTheme="majorBidi" w:cstheme="majorBidi"/>
          <w:sz w:val="23"/>
          <w:szCs w:val="23"/>
          <w:lang w:val="en-US"/>
        </w:rPr>
        <w:t xml:space="preserve"> (note that teaching hours</w:t>
      </w:r>
      <w:r w:rsidR="00891D30">
        <w:rPr>
          <w:rFonts w:asciiTheme="majorBidi" w:hAnsiTheme="majorBidi" w:cstheme="majorBidi"/>
          <w:sz w:val="23"/>
          <w:szCs w:val="23"/>
          <w:lang w:val="en-US"/>
        </w:rPr>
        <w:t xml:space="preserve"> are</w:t>
      </w:r>
      <w:r>
        <w:rPr>
          <w:rFonts w:asciiTheme="majorBidi" w:hAnsiTheme="majorBidi" w:cstheme="majorBidi"/>
          <w:sz w:val="23"/>
          <w:szCs w:val="23"/>
          <w:lang w:val="en-US"/>
        </w:rPr>
        <w:t xml:space="preserve"> 45 minutes)</w:t>
      </w:r>
    </w:p>
    <w:p w14:paraId="57987C5F" w14:textId="666B2F2D" w:rsidR="000001C4" w:rsidRPr="00290DF6" w:rsidRDefault="003450D6" w:rsidP="00290DF6">
      <w:pPr>
        <w:pStyle w:val="Default"/>
        <w:numPr>
          <w:ilvl w:val="0"/>
          <w:numId w:val="2"/>
        </w:numPr>
        <w:rPr>
          <w:rFonts w:asciiTheme="majorBidi" w:hAnsiTheme="majorBidi" w:cstheme="majorBidi"/>
          <w:sz w:val="23"/>
          <w:szCs w:val="23"/>
          <w:lang w:val="en-US"/>
        </w:rPr>
      </w:pPr>
      <w:r>
        <w:rPr>
          <w:rFonts w:asciiTheme="majorBidi" w:hAnsiTheme="majorBidi" w:cstheme="majorBidi"/>
          <w:sz w:val="23"/>
          <w:szCs w:val="23"/>
          <w:lang w:val="en-US"/>
        </w:rPr>
        <w:t>2</w:t>
      </w:r>
      <w:r w:rsidR="000001C4">
        <w:rPr>
          <w:rFonts w:asciiTheme="majorBidi" w:hAnsiTheme="majorBidi" w:cstheme="majorBidi"/>
          <w:sz w:val="23"/>
          <w:szCs w:val="23"/>
          <w:lang w:val="en-US"/>
        </w:rPr>
        <w:t>-days compact teaching at Lund University</w:t>
      </w:r>
    </w:p>
    <w:p w14:paraId="2DE729A5" w14:textId="77777777" w:rsidR="00290DF6" w:rsidRDefault="00290DF6" w:rsidP="00D55D82">
      <w:pPr>
        <w:pStyle w:val="Default"/>
        <w:spacing w:after="240"/>
        <w:ind w:left="720" w:hanging="360"/>
        <w:rPr>
          <w:rFonts w:asciiTheme="majorBidi" w:hAnsiTheme="majorBidi" w:cstheme="majorBidi"/>
          <w:b/>
          <w:bCs/>
          <w:sz w:val="23"/>
          <w:szCs w:val="23"/>
          <w:lang w:val="en-US"/>
        </w:rPr>
      </w:pPr>
    </w:p>
    <w:p w14:paraId="53FD5E22" w14:textId="4C24A8E1" w:rsidR="00290DF6" w:rsidRDefault="000001C4" w:rsidP="000001C4">
      <w:pPr>
        <w:pStyle w:val="Default"/>
        <w:spacing w:after="240"/>
        <w:rPr>
          <w:rFonts w:asciiTheme="majorBidi" w:hAnsiTheme="majorBidi" w:cstheme="majorBidi"/>
          <w:b/>
          <w:bCs/>
          <w:sz w:val="23"/>
          <w:szCs w:val="23"/>
          <w:lang w:val="en-US"/>
        </w:rPr>
      </w:pPr>
      <w:r>
        <w:rPr>
          <w:rFonts w:asciiTheme="majorBidi" w:hAnsiTheme="majorBidi" w:cstheme="majorBidi"/>
          <w:b/>
          <w:bCs/>
          <w:sz w:val="23"/>
          <w:szCs w:val="23"/>
          <w:lang w:val="en-US"/>
        </w:rPr>
        <w:t>Part</w:t>
      </w:r>
      <w:r w:rsidR="007276EF">
        <w:rPr>
          <w:rFonts w:asciiTheme="majorBidi" w:hAnsiTheme="majorBidi" w:cstheme="majorBidi"/>
          <w:b/>
          <w:bCs/>
          <w:sz w:val="23"/>
          <w:szCs w:val="23"/>
          <w:lang w:val="en-US"/>
        </w:rPr>
        <w:t xml:space="preserve"> I</w:t>
      </w:r>
      <w:r>
        <w:rPr>
          <w:rFonts w:asciiTheme="majorBidi" w:hAnsiTheme="majorBidi" w:cstheme="majorBidi"/>
          <w:b/>
          <w:bCs/>
          <w:sz w:val="23"/>
          <w:szCs w:val="23"/>
          <w:lang w:val="en-US"/>
        </w:rPr>
        <w:t>:</w:t>
      </w:r>
    </w:p>
    <w:p w14:paraId="70BB36DD" w14:textId="1FCEFBA0" w:rsidR="00186211" w:rsidRDefault="000001C4" w:rsidP="00186211">
      <w:pPr>
        <w:pStyle w:val="Default"/>
        <w:spacing w:after="240"/>
        <w:rPr>
          <w:rFonts w:asciiTheme="majorBidi" w:hAnsiTheme="majorBidi" w:cstheme="majorBidi"/>
          <w:sz w:val="23"/>
          <w:szCs w:val="23"/>
          <w:lang w:val="en-US"/>
        </w:rPr>
      </w:pPr>
      <w:r w:rsidRPr="00925645">
        <w:rPr>
          <w:rFonts w:asciiTheme="majorBidi" w:hAnsiTheme="majorBidi" w:cstheme="majorBidi"/>
          <w:sz w:val="23"/>
          <w:szCs w:val="23"/>
          <w:lang w:val="en-US"/>
        </w:rPr>
        <w:t>Each week of the 10-weeks we shall spend 1 hour on Quranic grammar and vocabulary: Fo</w:t>
      </w:r>
      <w:r w:rsidR="00974263">
        <w:rPr>
          <w:rFonts w:asciiTheme="majorBidi" w:hAnsiTheme="majorBidi" w:cstheme="majorBidi"/>
          <w:sz w:val="23"/>
          <w:szCs w:val="23"/>
          <w:lang w:val="en-US"/>
        </w:rPr>
        <w:t>r</w:t>
      </w:r>
      <w:r w:rsidRPr="00925645">
        <w:rPr>
          <w:rFonts w:asciiTheme="majorBidi" w:hAnsiTheme="majorBidi" w:cstheme="majorBidi"/>
          <w:sz w:val="23"/>
          <w:szCs w:val="23"/>
          <w:lang w:val="en-US"/>
        </w:rPr>
        <w:t xml:space="preserve"> this we follow Munthe</w:t>
      </w:r>
      <w:r w:rsidR="00186211" w:rsidRPr="00925645">
        <w:rPr>
          <w:rFonts w:asciiTheme="majorBidi" w:hAnsiTheme="majorBidi" w:cstheme="majorBidi"/>
          <w:sz w:val="23"/>
          <w:szCs w:val="23"/>
          <w:lang w:val="en-US"/>
        </w:rPr>
        <w:t>r</w:t>
      </w:r>
      <w:r w:rsidR="00974263">
        <w:rPr>
          <w:rFonts w:asciiTheme="majorBidi" w:hAnsiTheme="majorBidi" w:cstheme="majorBidi"/>
          <w:sz w:val="23"/>
          <w:szCs w:val="23"/>
          <w:lang w:val="en-US"/>
        </w:rPr>
        <w:t>’</w:t>
      </w:r>
      <w:r w:rsidR="00186211" w:rsidRPr="00925645">
        <w:rPr>
          <w:rFonts w:asciiTheme="majorBidi" w:hAnsiTheme="majorBidi" w:cstheme="majorBidi"/>
          <w:sz w:val="23"/>
          <w:szCs w:val="23"/>
          <w:lang w:val="en-US"/>
        </w:rPr>
        <w:t xml:space="preserve">s </w:t>
      </w:r>
      <w:proofErr w:type="gramStart"/>
      <w:r w:rsidR="00186211" w:rsidRPr="00925645">
        <w:rPr>
          <w:rFonts w:asciiTheme="majorBidi" w:hAnsiTheme="majorBidi" w:cstheme="majorBidi"/>
          <w:sz w:val="23"/>
          <w:szCs w:val="23"/>
          <w:lang w:val="en-US"/>
        </w:rPr>
        <w:t>lessons</w:t>
      </w:r>
      <w:proofErr w:type="gramEnd"/>
      <w:r w:rsidR="00186211" w:rsidRPr="00925645">
        <w:rPr>
          <w:rFonts w:asciiTheme="majorBidi" w:hAnsiTheme="majorBidi" w:cstheme="majorBidi"/>
          <w:sz w:val="23"/>
          <w:szCs w:val="23"/>
          <w:lang w:val="en-US"/>
        </w:rPr>
        <w:t xml:space="preserve"> structure. There are 40 lessons in Munther</w:t>
      </w:r>
      <w:r w:rsidR="00974263">
        <w:rPr>
          <w:rFonts w:asciiTheme="majorBidi" w:hAnsiTheme="majorBidi" w:cstheme="majorBidi"/>
          <w:sz w:val="23"/>
          <w:szCs w:val="23"/>
          <w:lang w:val="en-US"/>
        </w:rPr>
        <w:t>’</w:t>
      </w:r>
      <w:r w:rsidR="00186211" w:rsidRPr="00925645">
        <w:rPr>
          <w:rFonts w:asciiTheme="majorBidi" w:hAnsiTheme="majorBidi" w:cstheme="majorBidi"/>
          <w:sz w:val="23"/>
          <w:szCs w:val="23"/>
          <w:lang w:val="en-US"/>
        </w:rPr>
        <w:t xml:space="preserve">s </w:t>
      </w:r>
      <w:proofErr w:type="gramStart"/>
      <w:r w:rsidR="00186211" w:rsidRPr="00925645">
        <w:rPr>
          <w:rFonts w:asciiTheme="majorBidi" w:hAnsiTheme="majorBidi" w:cstheme="majorBidi"/>
          <w:i/>
          <w:iCs/>
          <w:sz w:val="23"/>
          <w:szCs w:val="23"/>
          <w:lang w:val="en-US"/>
        </w:rPr>
        <w:t>The</w:t>
      </w:r>
      <w:proofErr w:type="gramEnd"/>
      <w:r w:rsidR="00186211" w:rsidRPr="00925645">
        <w:rPr>
          <w:rFonts w:asciiTheme="majorBidi" w:hAnsiTheme="majorBidi" w:cstheme="majorBidi"/>
          <w:i/>
          <w:iCs/>
          <w:sz w:val="23"/>
          <w:szCs w:val="23"/>
          <w:lang w:val="en-US"/>
        </w:rPr>
        <w:t xml:space="preserve"> Routledge Introduction to Qur’anic Arabic</w:t>
      </w:r>
      <w:r w:rsidR="00925645">
        <w:rPr>
          <w:rFonts w:asciiTheme="majorBidi" w:hAnsiTheme="majorBidi" w:cstheme="majorBidi"/>
          <w:i/>
          <w:iCs/>
          <w:sz w:val="23"/>
          <w:szCs w:val="23"/>
          <w:lang w:val="en-US"/>
        </w:rPr>
        <w:t xml:space="preserve">. </w:t>
      </w:r>
      <w:r w:rsidR="00925645">
        <w:rPr>
          <w:rFonts w:asciiTheme="majorBidi" w:hAnsiTheme="majorBidi" w:cstheme="majorBidi"/>
          <w:sz w:val="23"/>
          <w:szCs w:val="23"/>
          <w:lang w:val="en-US"/>
        </w:rPr>
        <w:t xml:space="preserve">20 lessons thereof will be </w:t>
      </w:r>
      <w:r w:rsidR="007276EF">
        <w:rPr>
          <w:rFonts w:asciiTheme="majorBidi" w:hAnsiTheme="majorBidi" w:cstheme="majorBidi"/>
          <w:sz w:val="23"/>
          <w:szCs w:val="23"/>
          <w:lang w:val="en-US"/>
        </w:rPr>
        <w:t>covered online,</w:t>
      </w:r>
      <w:r w:rsidR="00925645">
        <w:rPr>
          <w:rFonts w:asciiTheme="majorBidi" w:hAnsiTheme="majorBidi" w:cstheme="majorBidi"/>
          <w:sz w:val="23"/>
          <w:szCs w:val="23"/>
          <w:lang w:val="en-US"/>
        </w:rPr>
        <w:t xml:space="preserve"> and 20 lessons will be covered through individual and groups tutorials. </w:t>
      </w:r>
    </w:p>
    <w:p w14:paraId="6C9A3FD7" w14:textId="76CC4027" w:rsidR="007276EF" w:rsidRPr="00925645" w:rsidRDefault="007276EF" w:rsidP="00186211">
      <w:pPr>
        <w:pStyle w:val="Default"/>
        <w:spacing w:after="240"/>
        <w:rPr>
          <w:rFonts w:asciiTheme="majorBidi" w:hAnsiTheme="majorBidi" w:cstheme="majorBidi"/>
          <w:sz w:val="23"/>
          <w:szCs w:val="23"/>
          <w:lang w:val="en-US"/>
        </w:rPr>
      </w:pPr>
      <w:r>
        <w:rPr>
          <w:rFonts w:asciiTheme="majorBidi" w:hAnsiTheme="majorBidi" w:cstheme="majorBidi"/>
          <w:sz w:val="23"/>
          <w:szCs w:val="23"/>
          <w:lang w:val="en-US"/>
        </w:rPr>
        <w:t xml:space="preserve">The second hour will be spent on a Quranic subject: Please see our reading list below: </w:t>
      </w:r>
    </w:p>
    <w:p w14:paraId="775B2497" w14:textId="77777777" w:rsidR="007276EF" w:rsidRDefault="007276EF" w:rsidP="000001C4">
      <w:pPr>
        <w:pStyle w:val="Default"/>
        <w:spacing w:after="240"/>
        <w:rPr>
          <w:rFonts w:asciiTheme="majorBidi" w:hAnsiTheme="majorBidi" w:cstheme="majorBidi"/>
          <w:b/>
          <w:bCs/>
          <w:sz w:val="23"/>
          <w:szCs w:val="23"/>
          <w:lang w:val="en-US"/>
        </w:rPr>
      </w:pPr>
    </w:p>
    <w:p w14:paraId="7FEF7414" w14:textId="17B1C8F7"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Introduction to the Qur’an and its grammatical-rhetorical features </w:t>
      </w:r>
    </w:p>
    <w:p w14:paraId="204511DD" w14:textId="77777777" w:rsidR="00D55D82" w:rsidRPr="00D55D82" w:rsidRDefault="00D55D82" w:rsidP="00D55D82">
      <w:pPr>
        <w:pStyle w:val="Default"/>
        <w:rPr>
          <w:rFonts w:asciiTheme="majorBidi" w:hAnsiTheme="majorBidi" w:cstheme="majorBidi"/>
          <w:sz w:val="23"/>
          <w:szCs w:val="23"/>
          <w:lang w:val="en-US"/>
        </w:rPr>
      </w:pPr>
    </w:p>
    <w:p w14:paraId="14CB02A9"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4B31C9C9"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Abdel Haleem, M. “Qur’ān”, in EALL, vol. 4, 21-31. </w:t>
      </w:r>
    </w:p>
    <w:p w14:paraId="50170D4B"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Talmon, R.: “Grammar and the Qur’an”, </w:t>
      </w:r>
      <w:proofErr w:type="gramStart"/>
      <w:r w:rsidRPr="00D55D82">
        <w:rPr>
          <w:rFonts w:asciiTheme="majorBidi" w:hAnsiTheme="majorBidi" w:cstheme="majorBidi"/>
          <w:sz w:val="23"/>
          <w:szCs w:val="23"/>
          <w:lang w:val="en-US"/>
        </w:rPr>
        <w:t>in:</w:t>
      </w:r>
      <w:proofErr w:type="gramEnd"/>
      <w:r w:rsidRPr="00D55D82">
        <w:rPr>
          <w:rFonts w:asciiTheme="majorBidi" w:hAnsiTheme="majorBidi" w:cstheme="majorBidi"/>
          <w:sz w:val="23"/>
          <w:szCs w:val="23"/>
          <w:lang w:val="en-US"/>
        </w:rPr>
        <w:t xml:space="preserve"> J.D. McAuliffe (ed.), </w:t>
      </w:r>
      <w:proofErr w:type="spellStart"/>
      <w:r w:rsidRPr="00D55D82">
        <w:rPr>
          <w:rFonts w:asciiTheme="majorBidi" w:hAnsiTheme="majorBidi" w:cstheme="majorBidi"/>
          <w:i/>
          <w:iCs/>
          <w:sz w:val="23"/>
          <w:szCs w:val="23"/>
          <w:lang w:val="en-US"/>
        </w:rPr>
        <w:t>Encyclopaedia</w:t>
      </w:r>
      <w:proofErr w:type="spellEnd"/>
      <w:r w:rsidRPr="00D55D82">
        <w:rPr>
          <w:rFonts w:asciiTheme="majorBidi" w:hAnsiTheme="majorBidi" w:cstheme="majorBidi"/>
          <w:i/>
          <w:iCs/>
          <w:sz w:val="23"/>
          <w:szCs w:val="23"/>
          <w:lang w:val="en-US"/>
        </w:rPr>
        <w:t xml:space="preserve"> of the Qur’an </w:t>
      </w:r>
      <w:r w:rsidRPr="00D55D82">
        <w:rPr>
          <w:rFonts w:asciiTheme="majorBidi" w:hAnsiTheme="majorBidi" w:cstheme="majorBidi"/>
          <w:sz w:val="23"/>
          <w:szCs w:val="23"/>
          <w:lang w:val="en-US"/>
        </w:rPr>
        <w:t xml:space="preserve">(Brill: Leiden 2001-6), 345-369 </w:t>
      </w:r>
    </w:p>
    <w:p w14:paraId="1F65D7F4" w14:textId="77777777" w:rsidR="00D55D82" w:rsidRPr="00D55D82" w:rsidRDefault="00D55D82" w:rsidP="00D55D82">
      <w:pPr>
        <w:pStyle w:val="Default"/>
        <w:rPr>
          <w:rFonts w:asciiTheme="majorBidi" w:hAnsiTheme="majorBidi" w:cstheme="majorBidi"/>
          <w:sz w:val="23"/>
          <w:szCs w:val="23"/>
          <w:lang w:val="en-US"/>
        </w:rPr>
      </w:pPr>
    </w:p>
    <w:p w14:paraId="211A8016"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Optional readings: </w:t>
      </w:r>
    </w:p>
    <w:p w14:paraId="10B09AAC"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El-Awa, Salma, “Linguistic Structure”, in Rippin, A. (ed.), </w:t>
      </w:r>
      <w:r w:rsidRPr="00D55D82">
        <w:rPr>
          <w:rFonts w:asciiTheme="majorBidi" w:hAnsiTheme="majorBidi" w:cstheme="majorBidi"/>
          <w:i/>
          <w:iCs/>
          <w:sz w:val="23"/>
          <w:szCs w:val="23"/>
          <w:lang w:val="en-US"/>
        </w:rPr>
        <w:t xml:space="preserve">The Blackwell Companion to the Qur’an </w:t>
      </w:r>
      <w:r w:rsidRPr="00D55D82">
        <w:rPr>
          <w:rFonts w:asciiTheme="majorBidi" w:hAnsiTheme="majorBidi" w:cstheme="majorBidi"/>
          <w:sz w:val="23"/>
          <w:szCs w:val="23"/>
          <w:lang w:val="en-US"/>
        </w:rPr>
        <w:t xml:space="preserve">(Blackwell: Malden, 2006), </w:t>
      </w:r>
      <w:r w:rsidRPr="00D55D82">
        <w:rPr>
          <w:rFonts w:asciiTheme="majorBidi" w:hAnsiTheme="majorBidi" w:cstheme="majorBidi"/>
          <w:i/>
          <w:iCs/>
          <w:sz w:val="23"/>
          <w:szCs w:val="23"/>
          <w:lang w:val="en-US"/>
        </w:rPr>
        <w:t xml:space="preserve">53-72 </w:t>
      </w:r>
    </w:p>
    <w:p w14:paraId="622A6152" w14:textId="77777777" w:rsidR="00D55D82" w:rsidRPr="00D55D82" w:rsidRDefault="00D55D82" w:rsidP="00D55D82">
      <w:pPr>
        <w:pStyle w:val="Default"/>
        <w:spacing w:before="240"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Neuwirth, A.: “Structural, linguistic, and literary features”, in McAuliffe, J.D. (ed.), </w:t>
      </w:r>
      <w:r w:rsidRPr="00D55D82">
        <w:rPr>
          <w:rFonts w:asciiTheme="majorBidi" w:hAnsiTheme="majorBidi" w:cstheme="majorBidi"/>
          <w:i/>
          <w:iCs/>
          <w:sz w:val="23"/>
          <w:szCs w:val="23"/>
          <w:lang w:val="en-US"/>
        </w:rPr>
        <w:t xml:space="preserve">The Cambridge Companion to the Qur’an </w:t>
      </w:r>
      <w:r w:rsidRPr="00D55D82">
        <w:rPr>
          <w:rFonts w:asciiTheme="majorBidi" w:hAnsiTheme="majorBidi" w:cstheme="majorBidi"/>
          <w:sz w:val="23"/>
          <w:szCs w:val="23"/>
          <w:lang w:val="en-US"/>
        </w:rPr>
        <w:t>(Cambridge: Cambridge UP, 2007),97-112</w:t>
      </w:r>
    </w:p>
    <w:p w14:paraId="0EE46068" w14:textId="77777777" w:rsidR="00D55D82" w:rsidRPr="00D55D82" w:rsidRDefault="00D55D82" w:rsidP="00D55D82">
      <w:pPr>
        <w:pStyle w:val="Default"/>
        <w:rPr>
          <w:rFonts w:asciiTheme="majorBidi" w:hAnsiTheme="majorBidi" w:cstheme="majorBidi"/>
          <w:sz w:val="23"/>
          <w:szCs w:val="23"/>
          <w:lang w:val="en-US"/>
        </w:rPr>
      </w:pPr>
    </w:p>
    <w:p w14:paraId="14C70A9D" w14:textId="503F510C"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lastRenderedPageBreak/>
        <w:t xml:space="preserve">Semantics, origin, and status of qur’anic Arabic </w:t>
      </w:r>
    </w:p>
    <w:p w14:paraId="32EEF623" w14:textId="77777777" w:rsidR="00D55D82" w:rsidRPr="00D55D82" w:rsidRDefault="00D55D82" w:rsidP="00D55D82">
      <w:pPr>
        <w:pStyle w:val="Default"/>
        <w:rPr>
          <w:rFonts w:asciiTheme="majorBidi" w:hAnsiTheme="majorBidi" w:cstheme="majorBidi"/>
          <w:sz w:val="23"/>
          <w:szCs w:val="23"/>
          <w:lang w:val="en-US"/>
        </w:rPr>
      </w:pPr>
    </w:p>
    <w:p w14:paraId="14657309"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12FADD57"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Zammit, Martin R.: </w:t>
      </w:r>
      <w:r w:rsidRPr="00D55D82">
        <w:rPr>
          <w:rFonts w:asciiTheme="majorBidi" w:hAnsiTheme="majorBidi" w:cstheme="majorBidi"/>
          <w:i/>
          <w:iCs/>
          <w:sz w:val="23"/>
          <w:szCs w:val="23"/>
          <w:lang w:val="en-US"/>
        </w:rPr>
        <w:t xml:space="preserve">A Comparative Lexical Study of Qur’anic Arabic </w:t>
      </w:r>
      <w:r w:rsidRPr="00D55D82">
        <w:rPr>
          <w:rFonts w:asciiTheme="majorBidi" w:hAnsiTheme="majorBidi" w:cstheme="majorBidi"/>
          <w:sz w:val="23"/>
          <w:szCs w:val="23"/>
          <w:lang w:val="en-US"/>
        </w:rPr>
        <w:t xml:space="preserve">(Brill, Leiden 2002), 29-63, 586-590 </w:t>
      </w:r>
    </w:p>
    <w:p w14:paraId="3D0A0781" w14:textId="77777777" w:rsidR="00D55D82" w:rsidRPr="00062762" w:rsidRDefault="00D55D82" w:rsidP="00D55D82">
      <w:pPr>
        <w:pStyle w:val="Default"/>
        <w:spacing w:after="240"/>
        <w:ind w:left="360" w:hanging="360"/>
        <w:rPr>
          <w:rFonts w:asciiTheme="majorBidi" w:hAnsiTheme="majorBidi" w:cstheme="majorBidi"/>
          <w:sz w:val="23"/>
          <w:szCs w:val="23"/>
          <w:lang w:val="fr-FR"/>
        </w:rPr>
      </w:pPr>
      <w:r w:rsidRPr="00D55D82">
        <w:rPr>
          <w:rFonts w:asciiTheme="majorBidi" w:hAnsiTheme="majorBidi" w:cstheme="majorBidi"/>
          <w:sz w:val="23"/>
          <w:szCs w:val="23"/>
          <w:lang w:val="en-US"/>
        </w:rPr>
        <w:t xml:space="preserve">• Pennacchio, Catherine: Lexical borrowing in the Qur’an. </w:t>
      </w:r>
      <w:r w:rsidRPr="00062762">
        <w:rPr>
          <w:rFonts w:asciiTheme="majorBidi" w:hAnsiTheme="majorBidi" w:cstheme="majorBidi"/>
          <w:sz w:val="23"/>
          <w:szCs w:val="23"/>
          <w:lang w:val="fr-FR"/>
        </w:rPr>
        <w:t xml:space="preserve">The </w:t>
      </w:r>
      <w:proofErr w:type="spellStart"/>
      <w:r w:rsidRPr="00062762">
        <w:rPr>
          <w:rFonts w:asciiTheme="majorBidi" w:hAnsiTheme="majorBidi" w:cstheme="majorBidi"/>
          <w:sz w:val="23"/>
          <w:szCs w:val="23"/>
          <w:lang w:val="fr-FR"/>
        </w:rPr>
        <w:t>Problematic</w:t>
      </w:r>
      <w:proofErr w:type="spellEnd"/>
      <w:r w:rsidRPr="00062762">
        <w:rPr>
          <w:rFonts w:asciiTheme="majorBidi" w:hAnsiTheme="majorBidi" w:cstheme="majorBidi"/>
          <w:sz w:val="23"/>
          <w:szCs w:val="23"/>
          <w:lang w:val="fr-FR"/>
        </w:rPr>
        <w:t xml:space="preserve"> Aspects of Arthur </w:t>
      </w:r>
      <w:proofErr w:type="spellStart"/>
      <w:r w:rsidRPr="00062762">
        <w:rPr>
          <w:rFonts w:asciiTheme="majorBidi" w:hAnsiTheme="majorBidi" w:cstheme="majorBidi"/>
          <w:sz w:val="23"/>
          <w:szCs w:val="23"/>
          <w:lang w:val="fr-FR"/>
        </w:rPr>
        <w:t>Jeffery’s</w:t>
      </w:r>
      <w:proofErr w:type="spellEnd"/>
      <w:r w:rsidRPr="00062762">
        <w:rPr>
          <w:rFonts w:asciiTheme="majorBidi" w:hAnsiTheme="majorBidi" w:cstheme="majorBidi"/>
          <w:sz w:val="23"/>
          <w:szCs w:val="23"/>
          <w:lang w:val="fr-FR"/>
        </w:rPr>
        <w:t xml:space="preserve"> List”, </w:t>
      </w:r>
      <w:r w:rsidRPr="00062762">
        <w:rPr>
          <w:rFonts w:asciiTheme="majorBidi" w:hAnsiTheme="majorBidi" w:cstheme="majorBidi"/>
          <w:i/>
          <w:iCs/>
          <w:sz w:val="23"/>
          <w:szCs w:val="23"/>
          <w:lang w:val="fr-FR"/>
        </w:rPr>
        <w:t xml:space="preserve">Bulletin du Centre de recherche français à Jérusalem </w:t>
      </w:r>
      <w:r w:rsidRPr="00062762">
        <w:rPr>
          <w:rFonts w:asciiTheme="majorBidi" w:hAnsiTheme="majorBidi" w:cstheme="majorBidi"/>
          <w:sz w:val="23"/>
          <w:szCs w:val="23"/>
          <w:lang w:val="fr-FR"/>
        </w:rPr>
        <w:t xml:space="preserve">22, 2011, 1-19. </w:t>
      </w:r>
    </w:p>
    <w:p w14:paraId="44CEC2D8"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Retsö</w:t>
      </w:r>
      <w:proofErr w:type="spellEnd"/>
      <w:r w:rsidRPr="00D55D82">
        <w:rPr>
          <w:rFonts w:asciiTheme="majorBidi" w:hAnsiTheme="majorBidi" w:cstheme="majorBidi"/>
          <w:sz w:val="23"/>
          <w:szCs w:val="23"/>
          <w:lang w:val="en-US"/>
        </w:rPr>
        <w:t xml:space="preserve">, Jan: “Arabs and Arabic in the Age of the Prophet”, in: </w:t>
      </w:r>
      <w:proofErr w:type="spellStart"/>
      <w:r w:rsidRPr="00D55D82">
        <w:rPr>
          <w:rFonts w:asciiTheme="majorBidi" w:hAnsiTheme="majorBidi" w:cstheme="majorBidi"/>
          <w:sz w:val="23"/>
          <w:szCs w:val="23"/>
          <w:lang w:val="en-US"/>
        </w:rPr>
        <w:t>QuC</w:t>
      </w:r>
      <w:proofErr w:type="spellEnd"/>
      <w:r w:rsidRPr="00D55D82">
        <w:rPr>
          <w:rFonts w:asciiTheme="majorBidi" w:hAnsiTheme="majorBidi" w:cstheme="majorBidi"/>
          <w:sz w:val="23"/>
          <w:szCs w:val="23"/>
          <w:lang w:val="en-US"/>
        </w:rPr>
        <w:t xml:space="preserve">, 281-292 </w:t>
      </w:r>
    </w:p>
    <w:p w14:paraId="4B15B049"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Saleh, Walid, “The Etymological Fallacy”, in: A. Neuwirth et al. (eds.), </w:t>
      </w:r>
      <w:r w:rsidRPr="00D55D82">
        <w:rPr>
          <w:rFonts w:asciiTheme="majorBidi" w:hAnsiTheme="majorBidi" w:cstheme="majorBidi"/>
          <w:i/>
          <w:iCs/>
          <w:sz w:val="23"/>
          <w:szCs w:val="23"/>
          <w:lang w:val="en-US"/>
        </w:rPr>
        <w:t xml:space="preserve">The </w:t>
      </w:r>
      <w:proofErr w:type="spellStart"/>
      <w:r w:rsidRPr="00D55D82">
        <w:rPr>
          <w:rFonts w:asciiTheme="majorBidi" w:hAnsiTheme="majorBidi" w:cstheme="majorBidi"/>
          <w:i/>
          <w:iCs/>
          <w:sz w:val="23"/>
          <w:szCs w:val="23"/>
          <w:lang w:val="en-US"/>
        </w:rPr>
        <w:t>Qur’ân</w:t>
      </w:r>
      <w:proofErr w:type="spellEnd"/>
      <w:r w:rsidRPr="00D55D82">
        <w:rPr>
          <w:rFonts w:asciiTheme="majorBidi" w:hAnsiTheme="majorBidi" w:cstheme="majorBidi"/>
          <w:i/>
          <w:iCs/>
          <w:sz w:val="23"/>
          <w:szCs w:val="23"/>
          <w:lang w:val="en-US"/>
        </w:rPr>
        <w:t xml:space="preserve"> in Context </w:t>
      </w:r>
      <w:r w:rsidRPr="00D55D82">
        <w:rPr>
          <w:rFonts w:asciiTheme="majorBidi" w:hAnsiTheme="majorBidi" w:cstheme="majorBidi"/>
          <w:sz w:val="23"/>
          <w:szCs w:val="23"/>
          <w:lang w:val="en-US"/>
        </w:rPr>
        <w:t xml:space="preserve">(Brill: Leiden 2011), 625-647. </w:t>
      </w:r>
    </w:p>
    <w:p w14:paraId="4105B4DB" w14:textId="1C46755B"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Poetry, Oracular Speech, and Prophecy </w:t>
      </w:r>
    </w:p>
    <w:p w14:paraId="12F7F9AC" w14:textId="77777777" w:rsidR="00D55D82" w:rsidRPr="00D55D82" w:rsidRDefault="00D55D82" w:rsidP="00D55D82">
      <w:pPr>
        <w:pStyle w:val="Default"/>
        <w:rPr>
          <w:rFonts w:asciiTheme="majorBidi" w:hAnsiTheme="majorBidi" w:cstheme="majorBidi"/>
          <w:sz w:val="23"/>
          <w:szCs w:val="23"/>
          <w:lang w:val="en-US"/>
        </w:rPr>
      </w:pPr>
    </w:p>
    <w:p w14:paraId="4E31F33B"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6D4CFDAA" w14:textId="1C5E1950"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Ghassan </w:t>
      </w:r>
      <w:proofErr w:type="spellStart"/>
      <w:r w:rsidRPr="00D55D82">
        <w:rPr>
          <w:rFonts w:asciiTheme="majorBidi" w:hAnsiTheme="majorBidi" w:cstheme="majorBidi"/>
          <w:sz w:val="23"/>
          <w:szCs w:val="23"/>
          <w:lang w:val="en-US"/>
        </w:rPr>
        <w:t>el</w:t>
      </w:r>
      <w:proofErr w:type="spellEnd"/>
      <w:r w:rsidRPr="00D55D82">
        <w:rPr>
          <w:rFonts w:asciiTheme="majorBidi" w:hAnsiTheme="majorBidi" w:cstheme="majorBidi"/>
          <w:sz w:val="23"/>
          <w:szCs w:val="23"/>
          <w:lang w:val="en-US"/>
        </w:rPr>
        <w:t xml:space="preserve"> Masri: “</w:t>
      </w:r>
      <w:proofErr w:type="spellStart"/>
      <w:r w:rsidRPr="00D55D82">
        <w:rPr>
          <w:rFonts w:asciiTheme="majorBidi" w:hAnsiTheme="majorBidi" w:cstheme="majorBidi"/>
          <w:sz w:val="23"/>
          <w:szCs w:val="23"/>
          <w:lang w:val="en-US"/>
        </w:rPr>
        <w:t>Maʾsal</w:t>
      </w:r>
      <w:proofErr w:type="spellEnd"/>
      <w:r w:rsidRPr="00D55D82">
        <w:rPr>
          <w:rFonts w:asciiTheme="majorBidi" w:hAnsiTheme="majorBidi" w:cstheme="majorBidi"/>
          <w:sz w:val="23"/>
          <w:szCs w:val="23"/>
          <w:lang w:val="en-US"/>
        </w:rPr>
        <w:t xml:space="preserve">: What the </w:t>
      </w:r>
      <w:proofErr w:type="spellStart"/>
      <w:r w:rsidRPr="00D55D82">
        <w:rPr>
          <w:rFonts w:asciiTheme="majorBidi" w:hAnsiTheme="majorBidi" w:cstheme="majorBidi"/>
          <w:sz w:val="23"/>
          <w:szCs w:val="23"/>
          <w:lang w:val="en-US"/>
        </w:rPr>
        <w:t>Ṭalal</w:t>
      </w:r>
      <w:proofErr w:type="spellEnd"/>
      <w:r w:rsidRPr="00D55D82">
        <w:rPr>
          <w:rFonts w:asciiTheme="majorBidi" w:hAnsiTheme="majorBidi" w:cstheme="majorBidi"/>
          <w:sz w:val="23"/>
          <w:szCs w:val="23"/>
          <w:lang w:val="en-US"/>
        </w:rPr>
        <w:t xml:space="preserve"> Would Tell Us”, in: A. Neuwirth &amp; M.A. Sells (eds.),</w:t>
      </w:r>
      <w:r w:rsidR="00EB3B55">
        <w:rPr>
          <w:rFonts w:asciiTheme="majorBidi" w:hAnsiTheme="majorBidi" w:cstheme="majorBidi"/>
          <w:sz w:val="23"/>
          <w:szCs w:val="23"/>
          <w:lang w:val="en-US"/>
        </w:rPr>
        <w:t xml:space="preserve"> </w:t>
      </w:r>
      <w:r w:rsidRPr="00D55D82">
        <w:rPr>
          <w:rFonts w:asciiTheme="majorBidi" w:hAnsiTheme="majorBidi" w:cstheme="majorBidi"/>
          <w:i/>
          <w:iCs/>
          <w:sz w:val="23"/>
          <w:szCs w:val="23"/>
          <w:lang w:val="en-US"/>
        </w:rPr>
        <w:t xml:space="preserve">Qur’anic Studies Today </w:t>
      </w:r>
      <w:r w:rsidRPr="00D55D82">
        <w:rPr>
          <w:rFonts w:asciiTheme="majorBidi" w:hAnsiTheme="majorBidi" w:cstheme="majorBidi"/>
          <w:sz w:val="23"/>
          <w:szCs w:val="23"/>
          <w:lang w:val="en-US"/>
        </w:rPr>
        <w:t xml:space="preserve">(Routledge: London, 2016) 249-261 </w:t>
      </w:r>
    </w:p>
    <w:p w14:paraId="3DAC5DCA"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Bauer, Thomas: „Relevance of Early Arabic Poetry for Qur’anic </w:t>
      </w:r>
      <w:proofErr w:type="gramStart"/>
      <w:r w:rsidRPr="00D55D82">
        <w:rPr>
          <w:rFonts w:asciiTheme="majorBidi" w:hAnsiTheme="majorBidi" w:cstheme="majorBidi"/>
          <w:sz w:val="23"/>
          <w:szCs w:val="23"/>
          <w:lang w:val="en-US"/>
        </w:rPr>
        <w:t>Studies“</w:t>
      </w:r>
      <w:proofErr w:type="gramEnd"/>
      <w:r w:rsidRPr="00D55D82">
        <w:rPr>
          <w:rFonts w:asciiTheme="majorBidi" w:hAnsiTheme="majorBidi" w:cstheme="majorBidi"/>
          <w:sz w:val="23"/>
          <w:szCs w:val="23"/>
          <w:lang w:val="en-US"/>
        </w:rPr>
        <w:t xml:space="preserve">, in: A. Neuwirth et al. (eds.), </w:t>
      </w:r>
      <w:r w:rsidRPr="00D55D82">
        <w:rPr>
          <w:rFonts w:asciiTheme="majorBidi" w:hAnsiTheme="majorBidi" w:cstheme="majorBidi"/>
          <w:i/>
          <w:iCs/>
          <w:sz w:val="23"/>
          <w:szCs w:val="23"/>
          <w:lang w:val="en-US"/>
        </w:rPr>
        <w:t xml:space="preserve">The </w:t>
      </w:r>
      <w:proofErr w:type="spellStart"/>
      <w:r w:rsidRPr="00D55D82">
        <w:rPr>
          <w:rFonts w:asciiTheme="majorBidi" w:hAnsiTheme="majorBidi" w:cstheme="majorBidi"/>
          <w:i/>
          <w:iCs/>
          <w:sz w:val="23"/>
          <w:szCs w:val="23"/>
          <w:lang w:val="en-US"/>
        </w:rPr>
        <w:t>Qur’ân</w:t>
      </w:r>
      <w:proofErr w:type="spellEnd"/>
      <w:r w:rsidRPr="00D55D82">
        <w:rPr>
          <w:rFonts w:asciiTheme="majorBidi" w:hAnsiTheme="majorBidi" w:cstheme="majorBidi"/>
          <w:i/>
          <w:iCs/>
          <w:sz w:val="23"/>
          <w:szCs w:val="23"/>
          <w:lang w:val="en-US"/>
        </w:rPr>
        <w:t xml:space="preserve"> in Context </w:t>
      </w:r>
      <w:r w:rsidRPr="00D55D82">
        <w:rPr>
          <w:rFonts w:asciiTheme="majorBidi" w:hAnsiTheme="majorBidi" w:cstheme="majorBidi"/>
          <w:sz w:val="23"/>
          <w:szCs w:val="23"/>
          <w:lang w:val="en-US"/>
        </w:rPr>
        <w:t xml:space="preserve">(Brill: Leiden 2011), 699-732 </w:t>
      </w:r>
    </w:p>
    <w:p w14:paraId="1896F21D"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Zwettler, Michael: “A Mantic Manifesto”, James Kugel (ed.) </w:t>
      </w:r>
      <w:r w:rsidRPr="00D55D82">
        <w:rPr>
          <w:rFonts w:asciiTheme="majorBidi" w:hAnsiTheme="majorBidi" w:cstheme="majorBidi"/>
          <w:i/>
          <w:iCs/>
          <w:sz w:val="23"/>
          <w:szCs w:val="23"/>
          <w:lang w:val="en-US"/>
        </w:rPr>
        <w:t xml:space="preserve">Poetry and Prophecy: The Beginnings of a Literary Tradition </w:t>
      </w:r>
      <w:r w:rsidRPr="00D55D82">
        <w:rPr>
          <w:rFonts w:asciiTheme="majorBidi" w:hAnsiTheme="majorBidi" w:cstheme="majorBidi"/>
          <w:sz w:val="23"/>
          <w:szCs w:val="23"/>
          <w:lang w:val="en-US"/>
        </w:rPr>
        <w:t xml:space="preserve">(Ithaka: Cornell University Press, 1990), 75-119, 205-231. </w:t>
      </w:r>
    </w:p>
    <w:p w14:paraId="71D3134E"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Stewart, Devin: “Rhymed prose</w:t>
      </w:r>
      <w:proofErr w:type="gramStart"/>
      <w:r w:rsidRPr="00D55D82">
        <w:rPr>
          <w:rFonts w:asciiTheme="majorBidi" w:hAnsiTheme="majorBidi" w:cstheme="majorBidi"/>
          <w:sz w:val="23"/>
          <w:szCs w:val="23"/>
          <w:lang w:val="en-US"/>
        </w:rPr>
        <w:t>” ,</w:t>
      </w:r>
      <w:proofErr w:type="gramEnd"/>
      <w:r w:rsidRPr="00D55D82">
        <w:rPr>
          <w:rFonts w:asciiTheme="majorBidi" w:hAnsiTheme="majorBidi" w:cstheme="majorBidi"/>
          <w:sz w:val="23"/>
          <w:szCs w:val="23"/>
          <w:lang w:val="en-US"/>
        </w:rPr>
        <w:t xml:space="preserve"> </w:t>
      </w:r>
      <w:proofErr w:type="gramStart"/>
      <w:r w:rsidRPr="00D55D82">
        <w:rPr>
          <w:rFonts w:asciiTheme="majorBidi" w:hAnsiTheme="majorBidi" w:cstheme="majorBidi"/>
          <w:sz w:val="23"/>
          <w:szCs w:val="23"/>
          <w:lang w:val="en-US"/>
        </w:rPr>
        <w:t>in:</w:t>
      </w:r>
      <w:proofErr w:type="gramEnd"/>
      <w:r w:rsidRPr="00D55D82">
        <w:rPr>
          <w:rFonts w:asciiTheme="majorBidi" w:hAnsiTheme="majorBidi" w:cstheme="majorBidi"/>
          <w:sz w:val="23"/>
          <w:szCs w:val="23"/>
          <w:lang w:val="en-US"/>
        </w:rPr>
        <w:t xml:space="preserve"> J.D. McAuliffe (ed.), </w:t>
      </w:r>
      <w:proofErr w:type="spellStart"/>
      <w:r w:rsidRPr="00D55D82">
        <w:rPr>
          <w:rFonts w:asciiTheme="majorBidi" w:hAnsiTheme="majorBidi" w:cstheme="majorBidi"/>
          <w:i/>
          <w:iCs/>
          <w:sz w:val="23"/>
          <w:szCs w:val="23"/>
          <w:lang w:val="en-US"/>
        </w:rPr>
        <w:t>Encyclopaedia</w:t>
      </w:r>
      <w:proofErr w:type="spellEnd"/>
      <w:r w:rsidRPr="00D55D82">
        <w:rPr>
          <w:rFonts w:asciiTheme="majorBidi" w:hAnsiTheme="majorBidi" w:cstheme="majorBidi"/>
          <w:i/>
          <w:iCs/>
          <w:sz w:val="23"/>
          <w:szCs w:val="23"/>
          <w:lang w:val="en-US"/>
        </w:rPr>
        <w:t xml:space="preserve"> of the Qur’an </w:t>
      </w:r>
      <w:r w:rsidRPr="00D55D82">
        <w:rPr>
          <w:rFonts w:asciiTheme="majorBidi" w:hAnsiTheme="majorBidi" w:cstheme="majorBidi"/>
          <w:sz w:val="23"/>
          <w:szCs w:val="23"/>
          <w:lang w:val="en-US"/>
        </w:rPr>
        <w:t xml:space="preserve">(Brill: Leiden 2001-6), 476-484 </w:t>
      </w:r>
    </w:p>
    <w:p w14:paraId="49989032" w14:textId="77777777" w:rsidR="00D55D82" w:rsidRPr="00D55D82" w:rsidRDefault="00D55D82" w:rsidP="00D55D82">
      <w:pPr>
        <w:pStyle w:val="Default"/>
        <w:rPr>
          <w:rFonts w:asciiTheme="majorBidi" w:hAnsiTheme="majorBidi" w:cstheme="majorBidi"/>
          <w:sz w:val="23"/>
          <w:szCs w:val="23"/>
          <w:lang w:val="en-US"/>
        </w:rPr>
      </w:pPr>
    </w:p>
    <w:p w14:paraId="7CE0A78D"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Optional reading: </w:t>
      </w:r>
    </w:p>
    <w:p w14:paraId="5188C0CF"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EALL/Versteegh, K. “Poetic </w:t>
      </w:r>
      <w:proofErr w:type="spellStart"/>
      <w:r w:rsidRPr="00D55D82">
        <w:rPr>
          <w:rFonts w:asciiTheme="majorBidi" w:hAnsiTheme="majorBidi" w:cstheme="majorBidi"/>
          <w:sz w:val="23"/>
          <w:szCs w:val="23"/>
          <w:lang w:val="en-US"/>
        </w:rPr>
        <w:t>Koine</w:t>
      </w:r>
      <w:proofErr w:type="spellEnd"/>
      <w:r w:rsidRPr="00D55D82">
        <w:rPr>
          <w:rFonts w:asciiTheme="majorBidi" w:hAnsiTheme="majorBidi" w:cstheme="majorBidi"/>
          <w:sz w:val="23"/>
          <w:szCs w:val="23"/>
          <w:lang w:val="en-US"/>
        </w:rPr>
        <w:t xml:space="preserve">” </w:t>
      </w:r>
    </w:p>
    <w:p w14:paraId="0659B752" w14:textId="77777777" w:rsidR="00D55D82" w:rsidRPr="00D55D82" w:rsidRDefault="00D55D82" w:rsidP="00D55D82">
      <w:pPr>
        <w:pStyle w:val="Default"/>
        <w:rPr>
          <w:rFonts w:asciiTheme="majorBidi" w:hAnsiTheme="majorBidi" w:cstheme="majorBidi"/>
          <w:sz w:val="23"/>
          <w:szCs w:val="23"/>
          <w:lang w:val="en-US"/>
        </w:rPr>
      </w:pPr>
    </w:p>
    <w:p w14:paraId="3ADA6A67" w14:textId="7B77E249"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 Rhetorical-Grammatical Features: The Vocative, Energetic, Oaths, and Exclamations </w:t>
      </w:r>
    </w:p>
    <w:p w14:paraId="6830D24C" w14:textId="77777777" w:rsidR="00D55D82" w:rsidRPr="00D55D82" w:rsidRDefault="00D55D82" w:rsidP="00D55D82">
      <w:pPr>
        <w:pStyle w:val="Default"/>
        <w:rPr>
          <w:rFonts w:asciiTheme="majorBidi" w:hAnsiTheme="majorBidi" w:cstheme="majorBidi"/>
          <w:sz w:val="23"/>
          <w:szCs w:val="23"/>
          <w:lang w:val="en-US"/>
        </w:rPr>
      </w:pPr>
    </w:p>
    <w:p w14:paraId="3400A87E"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184CBF6B"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Gwynne, Rosalind Ward: “Patterns of Address”, in: A. Rippin (ed.), </w:t>
      </w:r>
      <w:r w:rsidRPr="00D55D82">
        <w:rPr>
          <w:rFonts w:asciiTheme="majorBidi" w:hAnsiTheme="majorBidi" w:cstheme="majorBidi"/>
          <w:i/>
          <w:iCs/>
          <w:sz w:val="23"/>
          <w:szCs w:val="23"/>
          <w:lang w:val="en-US"/>
        </w:rPr>
        <w:t xml:space="preserve">The Blackwell Companion to the Qur’an </w:t>
      </w:r>
      <w:r w:rsidRPr="00D55D82">
        <w:rPr>
          <w:rFonts w:asciiTheme="majorBidi" w:hAnsiTheme="majorBidi" w:cstheme="majorBidi"/>
          <w:sz w:val="23"/>
          <w:szCs w:val="23"/>
          <w:lang w:val="en-US"/>
        </w:rPr>
        <w:t xml:space="preserve">(Blackwell, Malden 2006), 73-87. </w:t>
      </w:r>
    </w:p>
    <w:p w14:paraId="535836F3"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Neuwirth, A.: “Images and metaphors in the introductory sections of the Meccan </w:t>
      </w:r>
      <w:proofErr w:type="spellStart"/>
      <w:r w:rsidRPr="00D55D82">
        <w:rPr>
          <w:rFonts w:asciiTheme="majorBidi" w:hAnsiTheme="majorBidi" w:cstheme="majorBidi"/>
          <w:sz w:val="23"/>
          <w:szCs w:val="23"/>
          <w:lang w:val="en-US"/>
        </w:rPr>
        <w:t>sūras</w:t>
      </w:r>
      <w:proofErr w:type="spellEnd"/>
      <w:r w:rsidRPr="00D55D82">
        <w:rPr>
          <w:rFonts w:asciiTheme="majorBidi" w:hAnsiTheme="majorBidi" w:cstheme="majorBidi"/>
          <w:sz w:val="23"/>
          <w:szCs w:val="23"/>
          <w:lang w:val="en-US"/>
        </w:rPr>
        <w:t xml:space="preserve">”, in: G.R. </w:t>
      </w:r>
      <w:proofErr w:type="spellStart"/>
      <w:r w:rsidRPr="00D55D82">
        <w:rPr>
          <w:rFonts w:asciiTheme="majorBidi" w:hAnsiTheme="majorBidi" w:cstheme="majorBidi"/>
          <w:sz w:val="23"/>
          <w:szCs w:val="23"/>
          <w:lang w:val="en-US"/>
        </w:rPr>
        <w:t>Hawting</w:t>
      </w:r>
      <w:proofErr w:type="spellEnd"/>
      <w:r w:rsidRPr="00D55D82">
        <w:rPr>
          <w:rFonts w:asciiTheme="majorBidi" w:hAnsiTheme="majorBidi" w:cstheme="majorBidi"/>
          <w:sz w:val="23"/>
          <w:szCs w:val="23"/>
          <w:lang w:val="en-US"/>
        </w:rPr>
        <w:t xml:space="preserve"> et al. (eds.) </w:t>
      </w:r>
      <w:r w:rsidRPr="00D55D82">
        <w:rPr>
          <w:rFonts w:asciiTheme="majorBidi" w:hAnsiTheme="majorBidi" w:cstheme="majorBidi"/>
          <w:i/>
          <w:iCs/>
          <w:sz w:val="23"/>
          <w:szCs w:val="23"/>
          <w:lang w:val="en-US"/>
        </w:rPr>
        <w:t xml:space="preserve">Approaches to the Qur’an </w:t>
      </w:r>
      <w:r w:rsidRPr="00D55D82">
        <w:rPr>
          <w:rFonts w:asciiTheme="majorBidi" w:hAnsiTheme="majorBidi" w:cstheme="majorBidi"/>
          <w:sz w:val="23"/>
          <w:szCs w:val="23"/>
          <w:lang w:val="en-US"/>
        </w:rPr>
        <w:t xml:space="preserve">(Routledge: London 1993). </w:t>
      </w:r>
    </w:p>
    <w:p w14:paraId="7A40E243"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ArQ</w:t>
      </w:r>
      <w:proofErr w:type="spellEnd"/>
      <w:r w:rsidRPr="00D55D82">
        <w:rPr>
          <w:rFonts w:asciiTheme="majorBidi" w:hAnsiTheme="majorBidi" w:cstheme="majorBidi"/>
          <w:sz w:val="23"/>
          <w:szCs w:val="23"/>
          <w:lang w:val="en-US"/>
        </w:rPr>
        <w:t xml:space="preserve">, “The Vocative”, 180-183 </w:t>
      </w:r>
    </w:p>
    <w:p w14:paraId="26352A50"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lastRenderedPageBreak/>
        <w:t xml:space="preserve">• </w:t>
      </w:r>
      <w:proofErr w:type="spellStart"/>
      <w:r w:rsidRPr="00D55D82">
        <w:rPr>
          <w:rFonts w:asciiTheme="majorBidi" w:hAnsiTheme="majorBidi" w:cstheme="majorBidi"/>
          <w:sz w:val="23"/>
          <w:szCs w:val="23"/>
          <w:lang w:val="en-US"/>
        </w:rPr>
        <w:t>ArQ</w:t>
      </w:r>
      <w:proofErr w:type="spellEnd"/>
      <w:r w:rsidRPr="00D55D82">
        <w:rPr>
          <w:rFonts w:asciiTheme="majorBidi" w:hAnsiTheme="majorBidi" w:cstheme="majorBidi"/>
          <w:sz w:val="23"/>
          <w:szCs w:val="23"/>
          <w:lang w:val="en-US"/>
        </w:rPr>
        <w:t>, “The Energetic; Oaths and Exclamations”, 255-263</w:t>
      </w:r>
    </w:p>
    <w:p w14:paraId="60A51035" w14:textId="77777777" w:rsidR="00B94DCE" w:rsidRDefault="00B94DCE" w:rsidP="00D55D82">
      <w:pPr>
        <w:pStyle w:val="Default"/>
        <w:spacing w:after="240"/>
        <w:ind w:left="720" w:hanging="360"/>
        <w:rPr>
          <w:rFonts w:asciiTheme="majorBidi" w:hAnsiTheme="majorBidi" w:cstheme="majorBidi"/>
          <w:sz w:val="23"/>
          <w:szCs w:val="23"/>
          <w:lang w:val="en-US"/>
        </w:rPr>
      </w:pPr>
    </w:p>
    <w:p w14:paraId="376BB698" w14:textId="58D87993"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i/>
          <w:iCs/>
          <w:sz w:val="23"/>
          <w:szCs w:val="23"/>
          <w:lang w:val="en-US"/>
        </w:rPr>
        <w:t>“What’s in a Name</w:t>
      </w:r>
      <w:r w:rsidRPr="00D55D82">
        <w:rPr>
          <w:rFonts w:asciiTheme="majorBidi" w:hAnsiTheme="majorBidi" w:cstheme="majorBidi"/>
          <w:b/>
          <w:bCs/>
          <w:sz w:val="23"/>
          <w:szCs w:val="23"/>
          <w:lang w:val="en-US"/>
        </w:rPr>
        <w:t xml:space="preserve">?”: Proper Names </w:t>
      </w:r>
    </w:p>
    <w:p w14:paraId="3A48A9EE" w14:textId="77777777" w:rsidR="00D55D82" w:rsidRPr="00D55D82" w:rsidRDefault="00D55D82" w:rsidP="00D55D82">
      <w:pPr>
        <w:pStyle w:val="Default"/>
        <w:rPr>
          <w:rFonts w:asciiTheme="majorBidi" w:hAnsiTheme="majorBidi" w:cstheme="majorBidi"/>
          <w:sz w:val="23"/>
          <w:szCs w:val="23"/>
          <w:lang w:val="en-US"/>
        </w:rPr>
      </w:pPr>
    </w:p>
    <w:p w14:paraId="10ABD898"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2BA0FD7C"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Andrew Rippin: “Muhammad in the Qur’an”, in H. </w:t>
      </w:r>
      <w:proofErr w:type="spellStart"/>
      <w:r w:rsidRPr="00D55D82">
        <w:rPr>
          <w:rFonts w:asciiTheme="majorBidi" w:hAnsiTheme="majorBidi" w:cstheme="majorBidi"/>
          <w:sz w:val="23"/>
          <w:szCs w:val="23"/>
          <w:lang w:val="en-US"/>
        </w:rPr>
        <w:t>Motzki</w:t>
      </w:r>
      <w:proofErr w:type="spellEnd"/>
      <w:r w:rsidRPr="00D55D82">
        <w:rPr>
          <w:rFonts w:asciiTheme="majorBidi" w:hAnsiTheme="majorBidi" w:cstheme="majorBidi"/>
          <w:sz w:val="23"/>
          <w:szCs w:val="23"/>
          <w:lang w:val="en-US"/>
        </w:rPr>
        <w:t xml:space="preserve"> (ed.), </w:t>
      </w:r>
      <w:r w:rsidRPr="00D55D82">
        <w:rPr>
          <w:rFonts w:asciiTheme="majorBidi" w:hAnsiTheme="majorBidi" w:cstheme="majorBidi"/>
          <w:i/>
          <w:iCs/>
          <w:sz w:val="23"/>
          <w:szCs w:val="23"/>
          <w:lang w:val="en-US"/>
        </w:rPr>
        <w:t xml:space="preserve">The Biography of Muhammad </w:t>
      </w:r>
      <w:r w:rsidRPr="00D55D82">
        <w:rPr>
          <w:rFonts w:asciiTheme="majorBidi" w:hAnsiTheme="majorBidi" w:cstheme="majorBidi"/>
          <w:sz w:val="23"/>
          <w:szCs w:val="23"/>
          <w:lang w:val="en-US"/>
        </w:rPr>
        <w:t xml:space="preserve">(Brill: Leiden 2000), 298-309 </w:t>
      </w:r>
    </w:p>
    <w:p w14:paraId="5A2955B6"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ACoDiKA</w:t>
      </w:r>
      <w:proofErr w:type="spellEnd"/>
      <w:r w:rsidRPr="00D55D82">
        <w:rPr>
          <w:rFonts w:asciiTheme="majorBidi" w:hAnsiTheme="majorBidi" w:cstheme="majorBidi"/>
          <w:sz w:val="23"/>
          <w:szCs w:val="23"/>
          <w:lang w:val="en-US"/>
        </w:rPr>
        <w:t xml:space="preserve">, “Proper names”, 305-315 </w:t>
      </w:r>
    </w:p>
    <w:p w14:paraId="7ECA14E2"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Ibid. “Nouns and noun-phrases referring to God”, 347-258 </w:t>
      </w:r>
    </w:p>
    <w:p w14:paraId="29902647"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Dahlgren, Sven-Olof: “Word Order and Topicality in the Qur’an”, 20-35 </w:t>
      </w:r>
    </w:p>
    <w:p w14:paraId="1A193528" w14:textId="77777777" w:rsidR="00D55D82" w:rsidRPr="00D55D82" w:rsidRDefault="00D55D82" w:rsidP="00D55D82">
      <w:pPr>
        <w:pStyle w:val="Default"/>
        <w:rPr>
          <w:rFonts w:asciiTheme="majorBidi" w:hAnsiTheme="majorBidi" w:cstheme="majorBidi"/>
          <w:sz w:val="23"/>
          <w:szCs w:val="23"/>
          <w:lang w:val="en-US"/>
        </w:rPr>
      </w:pPr>
    </w:p>
    <w:p w14:paraId="5418FE52"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Optional readings: </w:t>
      </w:r>
    </w:p>
    <w:p w14:paraId="5DE171DE"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Kiltz; </w:t>
      </w:r>
      <w:proofErr w:type="spellStart"/>
      <w:r w:rsidRPr="00D55D82">
        <w:rPr>
          <w:rFonts w:asciiTheme="majorBidi" w:hAnsiTheme="majorBidi" w:cstheme="majorBidi"/>
          <w:sz w:val="23"/>
          <w:szCs w:val="23"/>
          <w:lang w:val="en-US"/>
        </w:rPr>
        <w:t>David</w:t>
      </w:r>
      <w:proofErr w:type="gramStart"/>
      <w:r w:rsidRPr="00D55D82">
        <w:rPr>
          <w:rFonts w:asciiTheme="majorBidi" w:hAnsiTheme="majorBidi" w:cstheme="majorBidi"/>
          <w:sz w:val="23"/>
          <w:szCs w:val="23"/>
          <w:lang w:val="en-US"/>
        </w:rPr>
        <w:t>:”The</w:t>
      </w:r>
      <w:proofErr w:type="spellEnd"/>
      <w:proofErr w:type="gramEnd"/>
      <w:r w:rsidRPr="00D55D82">
        <w:rPr>
          <w:rFonts w:asciiTheme="majorBidi" w:hAnsiTheme="majorBidi" w:cstheme="majorBidi"/>
          <w:sz w:val="23"/>
          <w:szCs w:val="23"/>
          <w:lang w:val="en-US"/>
        </w:rPr>
        <w:t xml:space="preserve"> Relationship between Arabic </w:t>
      </w:r>
      <w:proofErr w:type="spellStart"/>
      <w:r w:rsidRPr="00D55D82">
        <w:rPr>
          <w:rFonts w:asciiTheme="majorBidi" w:hAnsiTheme="majorBidi" w:cstheme="majorBidi"/>
          <w:sz w:val="23"/>
          <w:szCs w:val="23"/>
          <w:lang w:val="en-US"/>
        </w:rPr>
        <w:t>Allâh</w:t>
      </w:r>
      <w:proofErr w:type="spellEnd"/>
      <w:r w:rsidRPr="00D55D82">
        <w:rPr>
          <w:rFonts w:asciiTheme="majorBidi" w:hAnsiTheme="majorBidi" w:cstheme="majorBidi"/>
          <w:sz w:val="23"/>
          <w:szCs w:val="23"/>
          <w:lang w:val="en-US"/>
        </w:rPr>
        <w:t xml:space="preserve"> and Syriac </w:t>
      </w:r>
      <w:proofErr w:type="spellStart"/>
      <w:r w:rsidRPr="00D55D82">
        <w:rPr>
          <w:rFonts w:asciiTheme="majorBidi" w:hAnsiTheme="majorBidi" w:cstheme="majorBidi"/>
          <w:sz w:val="23"/>
          <w:szCs w:val="23"/>
          <w:lang w:val="en-US"/>
        </w:rPr>
        <w:t>Allâhâ</w:t>
      </w:r>
      <w:proofErr w:type="spellEnd"/>
      <w:r w:rsidRPr="00D55D82">
        <w:rPr>
          <w:rFonts w:asciiTheme="majorBidi" w:hAnsiTheme="majorBidi" w:cstheme="majorBidi"/>
          <w:sz w:val="23"/>
          <w:szCs w:val="23"/>
          <w:lang w:val="en-US"/>
        </w:rPr>
        <w:t>”</w:t>
      </w:r>
      <w:proofErr w:type="gramStart"/>
      <w:r w:rsidRPr="00D55D82">
        <w:rPr>
          <w:rFonts w:asciiTheme="majorBidi" w:hAnsiTheme="majorBidi" w:cstheme="majorBidi"/>
          <w:sz w:val="23"/>
          <w:szCs w:val="23"/>
          <w:lang w:val="en-US"/>
        </w:rPr>
        <w:t>, ,</w:t>
      </w:r>
      <w:proofErr w:type="gramEnd"/>
      <w:r w:rsidRPr="00D55D82">
        <w:rPr>
          <w:rFonts w:asciiTheme="majorBidi" w:hAnsiTheme="majorBidi" w:cstheme="majorBidi"/>
          <w:sz w:val="23"/>
          <w:szCs w:val="23"/>
          <w:lang w:val="en-US"/>
        </w:rPr>
        <w:t xml:space="preserve"> </w:t>
      </w:r>
      <w:r w:rsidRPr="00D55D82">
        <w:rPr>
          <w:rFonts w:asciiTheme="majorBidi" w:hAnsiTheme="majorBidi" w:cstheme="majorBidi"/>
          <w:i/>
          <w:iCs/>
          <w:sz w:val="23"/>
          <w:szCs w:val="23"/>
          <w:lang w:val="en-US"/>
        </w:rPr>
        <w:t xml:space="preserve">Der Islam </w:t>
      </w:r>
      <w:r w:rsidRPr="00D55D82">
        <w:rPr>
          <w:rFonts w:asciiTheme="majorBidi" w:hAnsiTheme="majorBidi" w:cstheme="majorBidi"/>
          <w:sz w:val="23"/>
          <w:szCs w:val="23"/>
          <w:lang w:val="en-US"/>
        </w:rPr>
        <w:t xml:space="preserve">Bd. 88, 2012, 33-50 </w:t>
      </w:r>
    </w:p>
    <w:p w14:paraId="2CDA48F0"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Welch, A.T.: “Muhammad’s Understanding of Himself: The Koranic Data”, in: R.C. Hovannisian &amp; V. Speros (eds.), </w:t>
      </w:r>
      <w:r w:rsidRPr="00D55D82">
        <w:rPr>
          <w:rFonts w:asciiTheme="majorBidi" w:hAnsiTheme="majorBidi" w:cstheme="majorBidi"/>
          <w:i/>
          <w:iCs/>
          <w:sz w:val="23"/>
          <w:szCs w:val="23"/>
          <w:lang w:val="en-US"/>
        </w:rPr>
        <w:t xml:space="preserve">Islam’s Understanding of Itself </w:t>
      </w:r>
      <w:r w:rsidRPr="00D55D82">
        <w:rPr>
          <w:rFonts w:asciiTheme="majorBidi" w:hAnsiTheme="majorBidi" w:cstheme="majorBidi"/>
          <w:sz w:val="23"/>
          <w:szCs w:val="23"/>
          <w:lang w:val="en-US"/>
        </w:rPr>
        <w:t>(</w:t>
      </w:r>
      <w:proofErr w:type="spellStart"/>
      <w:r w:rsidRPr="00D55D82">
        <w:rPr>
          <w:rFonts w:asciiTheme="majorBidi" w:hAnsiTheme="majorBidi" w:cstheme="majorBidi"/>
          <w:sz w:val="23"/>
          <w:szCs w:val="23"/>
          <w:lang w:val="en-US"/>
        </w:rPr>
        <w:t>Undena</w:t>
      </w:r>
      <w:proofErr w:type="spellEnd"/>
      <w:r w:rsidRPr="00D55D82">
        <w:rPr>
          <w:rFonts w:asciiTheme="majorBidi" w:hAnsiTheme="majorBidi" w:cstheme="majorBidi"/>
          <w:sz w:val="23"/>
          <w:szCs w:val="23"/>
          <w:lang w:val="en-US"/>
        </w:rPr>
        <w:t xml:space="preserve"> Publications: Malibu 1982), 15-52 </w:t>
      </w:r>
    </w:p>
    <w:p w14:paraId="4D2CD942" w14:textId="77777777" w:rsidR="00D55D82" w:rsidRPr="00D55D82" w:rsidRDefault="00D55D82" w:rsidP="00D55D82">
      <w:pPr>
        <w:pStyle w:val="Default"/>
        <w:rPr>
          <w:rFonts w:asciiTheme="majorBidi" w:hAnsiTheme="majorBidi" w:cstheme="majorBidi"/>
          <w:sz w:val="23"/>
          <w:szCs w:val="23"/>
          <w:lang w:val="en-US"/>
        </w:rPr>
      </w:pPr>
    </w:p>
    <w:p w14:paraId="4C978A0C" w14:textId="38BD212A"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Perhaps and </w:t>
      </w:r>
      <w:proofErr w:type="spellStart"/>
      <w:r w:rsidRPr="00D55D82">
        <w:rPr>
          <w:rFonts w:asciiTheme="majorBidi" w:hAnsiTheme="majorBidi" w:cstheme="majorBidi"/>
          <w:b/>
          <w:bCs/>
          <w:sz w:val="23"/>
          <w:szCs w:val="23"/>
          <w:lang w:val="en-US"/>
        </w:rPr>
        <w:t>Exceptives</w:t>
      </w:r>
      <w:proofErr w:type="spellEnd"/>
      <w:r w:rsidRPr="00D55D82">
        <w:rPr>
          <w:rFonts w:asciiTheme="majorBidi" w:hAnsiTheme="majorBidi" w:cstheme="majorBidi"/>
          <w:b/>
          <w:bCs/>
          <w:sz w:val="23"/>
          <w:szCs w:val="23"/>
          <w:lang w:val="en-US"/>
        </w:rPr>
        <w:t xml:space="preserve"> </w:t>
      </w:r>
    </w:p>
    <w:p w14:paraId="6C97DCBA" w14:textId="77777777" w:rsidR="00D55D82" w:rsidRPr="00D55D82" w:rsidRDefault="00D55D82" w:rsidP="00D55D82">
      <w:pPr>
        <w:pStyle w:val="Default"/>
        <w:rPr>
          <w:rFonts w:asciiTheme="majorBidi" w:hAnsiTheme="majorBidi" w:cstheme="majorBidi"/>
          <w:sz w:val="23"/>
          <w:szCs w:val="23"/>
          <w:lang w:val="en-US"/>
        </w:rPr>
      </w:pPr>
    </w:p>
    <w:p w14:paraId="18FBBAC4"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0C38B9F6"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ArC</w:t>
      </w:r>
      <w:proofErr w:type="spellEnd"/>
      <w:r w:rsidRPr="00D55D82">
        <w:rPr>
          <w:rFonts w:asciiTheme="majorBidi" w:hAnsiTheme="majorBidi" w:cstheme="majorBidi"/>
          <w:sz w:val="23"/>
          <w:szCs w:val="23"/>
          <w:lang w:val="en-US"/>
        </w:rPr>
        <w:t xml:space="preserve">, “More about an, </w:t>
      </w:r>
      <w:r w:rsidRPr="00D55D82">
        <w:rPr>
          <w:rFonts w:asciiTheme="majorBidi" w:hAnsiTheme="majorBidi" w:cstheme="majorBidi"/>
          <w:i/>
          <w:iCs/>
          <w:sz w:val="23"/>
          <w:szCs w:val="23"/>
          <w:lang w:val="en-US"/>
        </w:rPr>
        <w:t>‘</w:t>
      </w:r>
      <w:proofErr w:type="spellStart"/>
      <w:r w:rsidRPr="00D55D82">
        <w:rPr>
          <w:rFonts w:asciiTheme="majorBidi" w:hAnsiTheme="majorBidi" w:cstheme="majorBidi"/>
          <w:i/>
          <w:iCs/>
          <w:sz w:val="23"/>
          <w:szCs w:val="23"/>
          <w:lang w:val="en-US"/>
        </w:rPr>
        <w:t>asa</w:t>
      </w:r>
      <w:proofErr w:type="spellEnd"/>
      <w:r w:rsidRPr="00D55D82">
        <w:rPr>
          <w:rFonts w:asciiTheme="majorBidi" w:hAnsiTheme="majorBidi" w:cstheme="majorBidi"/>
          <w:i/>
          <w:iCs/>
          <w:sz w:val="23"/>
          <w:szCs w:val="23"/>
          <w:lang w:val="en-US"/>
        </w:rPr>
        <w:t xml:space="preserve"> </w:t>
      </w:r>
      <w:r w:rsidRPr="00D55D82">
        <w:rPr>
          <w:rFonts w:asciiTheme="majorBidi" w:hAnsiTheme="majorBidi" w:cstheme="majorBidi"/>
          <w:sz w:val="23"/>
          <w:szCs w:val="23"/>
          <w:lang w:val="en-US"/>
        </w:rPr>
        <w:t xml:space="preserve">and </w:t>
      </w:r>
      <w:proofErr w:type="spellStart"/>
      <w:proofErr w:type="gramStart"/>
      <w:r w:rsidRPr="00D55D82">
        <w:rPr>
          <w:rFonts w:asciiTheme="majorBidi" w:hAnsiTheme="majorBidi" w:cstheme="majorBidi"/>
          <w:i/>
          <w:iCs/>
          <w:sz w:val="23"/>
          <w:szCs w:val="23"/>
          <w:lang w:val="en-US"/>
        </w:rPr>
        <w:t>la‘</w:t>
      </w:r>
      <w:proofErr w:type="gramEnd"/>
      <w:r w:rsidRPr="00D55D82">
        <w:rPr>
          <w:rFonts w:asciiTheme="majorBidi" w:hAnsiTheme="majorBidi" w:cstheme="majorBidi"/>
          <w:i/>
          <w:iCs/>
          <w:sz w:val="23"/>
          <w:szCs w:val="23"/>
          <w:lang w:val="en-US"/>
        </w:rPr>
        <w:t>alla</w:t>
      </w:r>
      <w:proofErr w:type="spellEnd"/>
      <w:r w:rsidRPr="00D55D82">
        <w:rPr>
          <w:rFonts w:asciiTheme="majorBidi" w:hAnsiTheme="majorBidi" w:cstheme="majorBidi"/>
          <w:sz w:val="23"/>
          <w:szCs w:val="23"/>
          <w:lang w:val="en-US"/>
        </w:rPr>
        <w:t xml:space="preserve">”, 242-247 </w:t>
      </w:r>
    </w:p>
    <w:p w14:paraId="7742D427"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ArC</w:t>
      </w:r>
      <w:proofErr w:type="spellEnd"/>
      <w:r w:rsidRPr="00D55D82">
        <w:rPr>
          <w:rFonts w:asciiTheme="majorBidi" w:hAnsiTheme="majorBidi" w:cstheme="majorBidi"/>
          <w:sz w:val="23"/>
          <w:szCs w:val="23"/>
          <w:lang w:val="en-US"/>
        </w:rPr>
        <w:t xml:space="preserve">, “Exceptive Sentences with </w:t>
      </w:r>
      <w:proofErr w:type="spellStart"/>
      <w:r w:rsidRPr="00D55D82">
        <w:rPr>
          <w:rFonts w:asciiTheme="majorBidi" w:hAnsiTheme="majorBidi" w:cstheme="majorBidi"/>
          <w:i/>
          <w:iCs/>
          <w:sz w:val="23"/>
          <w:szCs w:val="23"/>
          <w:lang w:val="en-US"/>
        </w:rPr>
        <w:t>illā</w:t>
      </w:r>
      <w:proofErr w:type="spellEnd"/>
      <w:r w:rsidRPr="00D55D82">
        <w:rPr>
          <w:rFonts w:asciiTheme="majorBidi" w:hAnsiTheme="majorBidi" w:cstheme="majorBidi"/>
          <w:sz w:val="23"/>
          <w:szCs w:val="23"/>
          <w:lang w:val="en-US"/>
        </w:rPr>
        <w:t xml:space="preserve">”, 167-171 </w:t>
      </w:r>
    </w:p>
    <w:p w14:paraId="59D1C870" w14:textId="77777777" w:rsidR="00D55D82" w:rsidRPr="00D55D82" w:rsidRDefault="00D55D82" w:rsidP="00D55D82">
      <w:pPr>
        <w:pStyle w:val="Default"/>
        <w:rPr>
          <w:rFonts w:asciiTheme="majorBidi" w:hAnsiTheme="majorBidi" w:cstheme="majorBidi"/>
          <w:sz w:val="23"/>
          <w:szCs w:val="23"/>
          <w:lang w:val="en-US"/>
        </w:rPr>
      </w:pPr>
    </w:p>
    <w:p w14:paraId="60035CA8" w14:textId="77777777" w:rsidR="00D55D82" w:rsidRPr="006E0EA9" w:rsidRDefault="00D55D82" w:rsidP="00D55D82">
      <w:pPr>
        <w:pStyle w:val="Default"/>
        <w:spacing w:after="240"/>
        <w:rPr>
          <w:rFonts w:asciiTheme="majorBidi" w:hAnsiTheme="majorBidi" w:cstheme="majorBidi"/>
          <w:sz w:val="23"/>
          <w:szCs w:val="23"/>
          <w:lang w:val="en-US"/>
        </w:rPr>
      </w:pPr>
      <w:r w:rsidRPr="006E0EA9">
        <w:rPr>
          <w:rFonts w:asciiTheme="majorBidi" w:hAnsiTheme="majorBidi" w:cstheme="majorBidi"/>
          <w:b/>
          <w:bCs/>
          <w:sz w:val="23"/>
          <w:szCs w:val="23"/>
          <w:lang w:val="en-US"/>
        </w:rPr>
        <w:t xml:space="preserve">Optional </w:t>
      </w:r>
    </w:p>
    <w:p w14:paraId="7C068F6A"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Bernards, Monique, “</w:t>
      </w:r>
      <w:proofErr w:type="spellStart"/>
      <w:r w:rsidRPr="00D55D82">
        <w:rPr>
          <w:rFonts w:asciiTheme="majorBidi" w:hAnsiTheme="majorBidi" w:cstheme="majorBidi"/>
          <w:sz w:val="23"/>
          <w:szCs w:val="23"/>
          <w:lang w:val="en-US"/>
        </w:rPr>
        <w:t>Istiṯna</w:t>
      </w:r>
      <w:proofErr w:type="spellEnd"/>
      <w:r w:rsidRPr="00D55D82">
        <w:rPr>
          <w:rFonts w:asciiTheme="majorBidi" w:hAnsiTheme="majorBidi" w:cstheme="majorBidi"/>
          <w:sz w:val="23"/>
          <w:szCs w:val="23"/>
          <w:lang w:val="en-US"/>
        </w:rPr>
        <w:t xml:space="preserve">”, in Versteegh, Kees et al. (eds.), </w:t>
      </w:r>
      <w:r w:rsidRPr="00D55D82">
        <w:rPr>
          <w:rFonts w:asciiTheme="majorBidi" w:hAnsiTheme="majorBidi" w:cstheme="majorBidi"/>
          <w:i/>
          <w:iCs/>
          <w:sz w:val="23"/>
          <w:szCs w:val="23"/>
          <w:lang w:val="en-US"/>
        </w:rPr>
        <w:t xml:space="preserve">Encyclopedia of Arabic Language and Linguistics </w:t>
      </w:r>
      <w:r w:rsidRPr="00D55D82">
        <w:rPr>
          <w:rFonts w:asciiTheme="majorBidi" w:hAnsiTheme="majorBidi" w:cstheme="majorBidi"/>
          <w:sz w:val="23"/>
          <w:szCs w:val="23"/>
          <w:lang w:val="en-US"/>
        </w:rPr>
        <w:t xml:space="preserve">(Brill: Leiden, 2011), 451-454 </w:t>
      </w:r>
    </w:p>
    <w:p w14:paraId="22B8D56A" w14:textId="19A10BF9"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The Qur’an on the condition </w:t>
      </w:r>
    </w:p>
    <w:p w14:paraId="27DFF962" w14:textId="77777777" w:rsidR="00D55D82" w:rsidRPr="00D55D82" w:rsidRDefault="00D55D82" w:rsidP="00D55D82">
      <w:pPr>
        <w:pStyle w:val="Default"/>
        <w:rPr>
          <w:rFonts w:asciiTheme="majorBidi" w:hAnsiTheme="majorBidi" w:cstheme="majorBidi"/>
          <w:sz w:val="23"/>
          <w:szCs w:val="23"/>
          <w:lang w:val="en-US"/>
        </w:rPr>
      </w:pPr>
    </w:p>
    <w:p w14:paraId="566EEF14" w14:textId="77777777" w:rsidR="00D55D82" w:rsidRPr="00D55D82" w:rsidRDefault="00D55D82" w:rsidP="00D55D82">
      <w:pPr>
        <w:pStyle w:val="Default"/>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Readings: </w:t>
      </w:r>
    </w:p>
    <w:p w14:paraId="78D6C13B"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w:t>
      </w:r>
      <w:proofErr w:type="spellStart"/>
      <w:r w:rsidRPr="00D55D82">
        <w:rPr>
          <w:rFonts w:asciiTheme="majorBidi" w:hAnsiTheme="majorBidi" w:cstheme="majorBidi"/>
          <w:sz w:val="23"/>
          <w:szCs w:val="23"/>
          <w:lang w:val="en-US"/>
        </w:rPr>
        <w:t>ArC</w:t>
      </w:r>
      <w:proofErr w:type="spellEnd"/>
      <w:r w:rsidRPr="00D55D82">
        <w:rPr>
          <w:rFonts w:asciiTheme="majorBidi" w:hAnsiTheme="majorBidi" w:cstheme="majorBidi"/>
          <w:sz w:val="23"/>
          <w:szCs w:val="23"/>
          <w:lang w:val="en-US"/>
        </w:rPr>
        <w:t xml:space="preserve">, 227-239 </w:t>
      </w:r>
    </w:p>
    <w:p w14:paraId="1C27423E" w14:textId="6E414342" w:rsidR="00D55D82" w:rsidRPr="00D55D82" w:rsidRDefault="00D55D82" w:rsidP="007276EF">
      <w:pPr>
        <w:pStyle w:val="Default"/>
        <w:numPr>
          <w:ilvl w:val="0"/>
          <w:numId w:val="3"/>
        </w:numPr>
        <w:spacing w:after="240"/>
        <w:rPr>
          <w:rFonts w:asciiTheme="majorBidi" w:hAnsiTheme="majorBidi" w:cstheme="majorBidi"/>
          <w:sz w:val="23"/>
          <w:szCs w:val="23"/>
          <w:lang w:val="en-US"/>
        </w:rPr>
      </w:pPr>
      <w:r w:rsidRPr="00D55D82">
        <w:rPr>
          <w:rFonts w:asciiTheme="majorBidi" w:hAnsiTheme="majorBidi" w:cstheme="majorBidi"/>
          <w:b/>
          <w:bCs/>
          <w:sz w:val="23"/>
          <w:szCs w:val="23"/>
          <w:lang w:val="en-US"/>
        </w:rPr>
        <w:t xml:space="preserve">Similes, metaphors, and phraseology </w:t>
      </w:r>
    </w:p>
    <w:p w14:paraId="2925094F" w14:textId="77777777" w:rsidR="00D55D82" w:rsidRPr="00D55D82" w:rsidRDefault="00D55D82" w:rsidP="00D55D82">
      <w:pPr>
        <w:pStyle w:val="Default"/>
        <w:rPr>
          <w:rFonts w:asciiTheme="majorBidi" w:hAnsiTheme="majorBidi" w:cstheme="majorBidi"/>
          <w:sz w:val="23"/>
          <w:szCs w:val="23"/>
          <w:lang w:val="en-US"/>
        </w:rPr>
      </w:pPr>
    </w:p>
    <w:p w14:paraId="0CE2EBCD" w14:textId="77777777" w:rsidR="00D55D82" w:rsidRPr="00D55D82" w:rsidRDefault="00D55D82" w:rsidP="00B94DCE">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b/>
          <w:bCs/>
          <w:sz w:val="23"/>
          <w:szCs w:val="23"/>
          <w:lang w:val="en-US"/>
        </w:rPr>
        <w:t>Readings:</w:t>
      </w:r>
    </w:p>
    <w:p w14:paraId="787CD19D"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Beaumont, D.: “Simile”, in McAuliffe, J.D. (ed.), </w:t>
      </w:r>
      <w:proofErr w:type="spellStart"/>
      <w:r w:rsidRPr="00D55D82">
        <w:rPr>
          <w:rFonts w:asciiTheme="majorBidi" w:hAnsiTheme="majorBidi" w:cstheme="majorBidi"/>
          <w:sz w:val="23"/>
          <w:szCs w:val="23"/>
          <w:lang w:val="en-US"/>
        </w:rPr>
        <w:t>Encyclopaedia</w:t>
      </w:r>
      <w:proofErr w:type="spellEnd"/>
      <w:r w:rsidRPr="00D55D82">
        <w:rPr>
          <w:rFonts w:asciiTheme="majorBidi" w:hAnsiTheme="majorBidi" w:cstheme="majorBidi"/>
          <w:sz w:val="23"/>
          <w:szCs w:val="23"/>
          <w:lang w:val="en-US"/>
        </w:rPr>
        <w:t xml:space="preserve"> of the Qur’an (Leiden: Brill, 2001-6), </w:t>
      </w:r>
    </w:p>
    <w:p w14:paraId="67827270"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Mir, Mustansir: </w:t>
      </w:r>
      <w:r w:rsidRPr="00D55D82">
        <w:rPr>
          <w:rFonts w:asciiTheme="majorBidi" w:hAnsiTheme="majorBidi" w:cstheme="majorBidi"/>
          <w:i/>
          <w:iCs/>
          <w:sz w:val="23"/>
          <w:szCs w:val="23"/>
          <w:lang w:val="en-US"/>
        </w:rPr>
        <w:t xml:space="preserve">Verbal Idioms of the Qur’an </w:t>
      </w:r>
      <w:r w:rsidRPr="00D55D82">
        <w:rPr>
          <w:rFonts w:asciiTheme="majorBidi" w:hAnsiTheme="majorBidi" w:cstheme="majorBidi"/>
          <w:sz w:val="23"/>
          <w:szCs w:val="23"/>
          <w:lang w:val="en-US"/>
        </w:rPr>
        <w:t xml:space="preserve">(U of Michigan: Ann Arbor, 1989), 1-24 </w:t>
      </w:r>
    </w:p>
    <w:p w14:paraId="126D1D04"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EALL/Simon, </w:t>
      </w:r>
      <w:proofErr w:type="gramStart"/>
      <w:r w:rsidRPr="00D55D82">
        <w:rPr>
          <w:rFonts w:asciiTheme="majorBidi" w:hAnsiTheme="majorBidi" w:cstheme="majorBidi"/>
          <w:sz w:val="23"/>
          <w:szCs w:val="23"/>
          <w:lang w:val="en-US"/>
        </w:rPr>
        <w:t>Udo:“</w:t>
      </w:r>
      <w:proofErr w:type="spellStart"/>
      <w:proofErr w:type="gramEnd"/>
      <w:r w:rsidRPr="00D55D82">
        <w:rPr>
          <w:rFonts w:asciiTheme="majorBidi" w:hAnsiTheme="majorBidi" w:cstheme="majorBidi"/>
          <w:sz w:val="23"/>
          <w:szCs w:val="23"/>
          <w:lang w:val="en-US"/>
        </w:rPr>
        <w:t>Istiʿara</w:t>
      </w:r>
      <w:proofErr w:type="spellEnd"/>
      <w:r w:rsidRPr="00D55D82">
        <w:rPr>
          <w:rFonts w:asciiTheme="majorBidi" w:hAnsiTheme="majorBidi" w:cstheme="majorBidi"/>
          <w:sz w:val="23"/>
          <w:szCs w:val="23"/>
          <w:lang w:val="en-US"/>
        </w:rPr>
        <w:t xml:space="preserve">”, 441-447 </w:t>
      </w:r>
    </w:p>
    <w:p w14:paraId="7EFECC42"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EALL/Simon, Udo: “</w:t>
      </w:r>
      <w:proofErr w:type="spellStart"/>
      <w:r w:rsidRPr="00D55D82">
        <w:rPr>
          <w:rFonts w:asciiTheme="majorBidi" w:hAnsiTheme="majorBidi" w:cstheme="majorBidi"/>
          <w:sz w:val="23"/>
          <w:szCs w:val="23"/>
          <w:lang w:val="en-US"/>
        </w:rPr>
        <w:t>Majāz</w:t>
      </w:r>
      <w:proofErr w:type="spellEnd"/>
      <w:r w:rsidRPr="00D55D82">
        <w:rPr>
          <w:rFonts w:asciiTheme="majorBidi" w:hAnsiTheme="majorBidi" w:cstheme="majorBidi"/>
          <w:sz w:val="23"/>
          <w:szCs w:val="23"/>
          <w:lang w:val="en-US"/>
        </w:rPr>
        <w:t xml:space="preserve">”, 116-123, </w:t>
      </w:r>
    </w:p>
    <w:p w14:paraId="0FEF0DD2" w14:textId="77777777" w:rsidR="00D55D82" w:rsidRPr="006E0EA9" w:rsidRDefault="00D55D82" w:rsidP="00D55D82">
      <w:pPr>
        <w:pStyle w:val="Default"/>
        <w:spacing w:after="240"/>
        <w:ind w:left="360" w:hanging="360"/>
        <w:rPr>
          <w:rFonts w:asciiTheme="majorBidi" w:hAnsiTheme="majorBidi" w:cstheme="majorBidi"/>
          <w:sz w:val="23"/>
          <w:szCs w:val="23"/>
          <w:lang w:val="en-US"/>
        </w:rPr>
      </w:pPr>
      <w:r w:rsidRPr="006E0EA9">
        <w:rPr>
          <w:rFonts w:asciiTheme="majorBidi" w:hAnsiTheme="majorBidi" w:cstheme="majorBidi"/>
          <w:sz w:val="23"/>
          <w:szCs w:val="23"/>
          <w:lang w:val="en-US"/>
        </w:rPr>
        <w:t>• EALL/</w:t>
      </w:r>
      <w:proofErr w:type="spellStart"/>
      <w:r w:rsidRPr="006E0EA9">
        <w:rPr>
          <w:rFonts w:asciiTheme="majorBidi" w:hAnsiTheme="majorBidi" w:cstheme="majorBidi"/>
          <w:sz w:val="23"/>
          <w:szCs w:val="23"/>
          <w:lang w:val="en-US"/>
        </w:rPr>
        <w:t>Shivtiel</w:t>
      </w:r>
      <w:proofErr w:type="spellEnd"/>
      <w:r w:rsidRPr="006E0EA9">
        <w:rPr>
          <w:rFonts w:asciiTheme="majorBidi" w:hAnsiTheme="majorBidi" w:cstheme="majorBidi"/>
          <w:sz w:val="23"/>
          <w:szCs w:val="23"/>
          <w:lang w:val="en-US"/>
        </w:rPr>
        <w:t xml:space="preserve">, </w:t>
      </w:r>
      <w:proofErr w:type="spellStart"/>
      <w:r w:rsidRPr="006E0EA9">
        <w:rPr>
          <w:rFonts w:asciiTheme="majorBidi" w:hAnsiTheme="majorBidi" w:cstheme="majorBidi"/>
          <w:sz w:val="23"/>
          <w:szCs w:val="23"/>
          <w:lang w:val="en-US"/>
        </w:rPr>
        <w:t>Avihai</w:t>
      </w:r>
      <w:proofErr w:type="spellEnd"/>
      <w:r w:rsidRPr="006E0EA9">
        <w:rPr>
          <w:rFonts w:asciiTheme="majorBidi" w:hAnsiTheme="majorBidi" w:cstheme="majorBidi"/>
          <w:sz w:val="23"/>
          <w:szCs w:val="23"/>
          <w:lang w:val="en-US"/>
        </w:rPr>
        <w:t xml:space="preserve">: “Phraseology”, 628-634 </w:t>
      </w:r>
    </w:p>
    <w:p w14:paraId="60F1DEEB" w14:textId="77777777" w:rsidR="00D55D82" w:rsidRPr="006E0EA9" w:rsidRDefault="00D55D82" w:rsidP="00D55D82">
      <w:pPr>
        <w:pStyle w:val="Default"/>
        <w:rPr>
          <w:rFonts w:asciiTheme="majorBidi" w:hAnsiTheme="majorBidi" w:cstheme="majorBidi"/>
          <w:sz w:val="23"/>
          <w:szCs w:val="23"/>
          <w:lang w:val="en-US"/>
        </w:rPr>
      </w:pPr>
    </w:p>
    <w:p w14:paraId="3A01CEF7" w14:textId="0C104D94" w:rsidR="00D55D82" w:rsidRPr="00D55D82" w:rsidRDefault="007276EF" w:rsidP="00D55D82">
      <w:pPr>
        <w:pStyle w:val="Default"/>
        <w:spacing w:after="240"/>
        <w:ind w:left="720" w:hanging="360"/>
        <w:rPr>
          <w:rFonts w:asciiTheme="majorBidi" w:hAnsiTheme="majorBidi" w:cstheme="majorBidi"/>
          <w:sz w:val="23"/>
          <w:szCs w:val="23"/>
          <w:lang w:val="en-US"/>
        </w:rPr>
      </w:pPr>
      <w:r>
        <w:rPr>
          <w:rFonts w:asciiTheme="majorBidi" w:hAnsiTheme="majorBidi" w:cstheme="majorBidi"/>
          <w:b/>
          <w:bCs/>
          <w:sz w:val="23"/>
          <w:szCs w:val="23"/>
          <w:lang w:val="en-US"/>
        </w:rPr>
        <w:t>9</w:t>
      </w:r>
      <w:r w:rsidR="00D55D82" w:rsidRPr="00D55D82">
        <w:rPr>
          <w:rFonts w:asciiTheme="majorBidi" w:hAnsiTheme="majorBidi" w:cstheme="majorBidi"/>
          <w:b/>
          <w:bCs/>
          <w:sz w:val="23"/>
          <w:szCs w:val="23"/>
          <w:lang w:val="en-US"/>
        </w:rPr>
        <w:t xml:space="preserve">. Sacred Soundscapes and Pious Paronomasia </w:t>
      </w:r>
    </w:p>
    <w:p w14:paraId="726D9B4A" w14:textId="77777777" w:rsidR="00D55D82" w:rsidRPr="00D55D82" w:rsidRDefault="00D55D82" w:rsidP="00D55D82">
      <w:pPr>
        <w:pStyle w:val="Default"/>
        <w:rPr>
          <w:rFonts w:asciiTheme="majorBidi" w:hAnsiTheme="majorBidi" w:cstheme="majorBidi"/>
          <w:sz w:val="23"/>
          <w:szCs w:val="23"/>
          <w:lang w:val="en-US"/>
        </w:rPr>
      </w:pPr>
    </w:p>
    <w:p w14:paraId="71EB639C" w14:textId="77777777" w:rsidR="00D55D82" w:rsidRPr="006E0EA9" w:rsidRDefault="00D55D82" w:rsidP="00D55D82">
      <w:pPr>
        <w:pStyle w:val="Default"/>
        <w:spacing w:after="240"/>
        <w:rPr>
          <w:rFonts w:asciiTheme="majorBidi" w:hAnsiTheme="majorBidi" w:cstheme="majorBidi"/>
          <w:sz w:val="23"/>
          <w:szCs w:val="23"/>
          <w:lang w:val="en-US"/>
        </w:rPr>
      </w:pPr>
      <w:r w:rsidRPr="006E0EA9">
        <w:rPr>
          <w:rFonts w:asciiTheme="majorBidi" w:hAnsiTheme="majorBidi" w:cstheme="majorBidi"/>
          <w:b/>
          <w:bCs/>
          <w:sz w:val="23"/>
          <w:szCs w:val="23"/>
          <w:lang w:val="en-US"/>
        </w:rPr>
        <w:t xml:space="preserve">Readings: </w:t>
      </w:r>
    </w:p>
    <w:p w14:paraId="6E595014"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Sells, Michael. “Sound, Spirit, and Gender”, </w:t>
      </w:r>
      <w:r w:rsidRPr="00D55D82">
        <w:rPr>
          <w:rFonts w:asciiTheme="majorBidi" w:hAnsiTheme="majorBidi" w:cstheme="majorBidi"/>
          <w:i/>
          <w:iCs/>
          <w:sz w:val="23"/>
          <w:szCs w:val="23"/>
          <w:lang w:val="en-US"/>
        </w:rPr>
        <w:t xml:space="preserve">Approaching the Qur’an. The Early Revelations </w:t>
      </w:r>
      <w:r w:rsidRPr="00D55D82">
        <w:rPr>
          <w:rFonts w:asciiTheme="majorBidi" w:hAnsiTheme="majorBidi" w:cstheme="majorBidi"/>
          <w:sz w:val="23"/>
          <w:szCs w:val="23"/>
          <w:lang w:val="en-US"/>
        </w:rPr>
        <w:t xml:space="preserve">(Ashland: White Cloud Press, 1999), 199-223. </w:t>
      </w:r>
    </w:p>
    <w:p w14:paraId="73620B92"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 Rippin, A. “The Poetics of Qur’anic Punning”, </w:t>
      </w:r>
      <w:r w:rsidRPr="00D55D82">
        <w:rPr>
          <w:rFonts w:asciiTheme="majorBidi" w:hAnsiTheme="majorBidi" w:cstheme="majorBidi"/>
          <w:i/>
          <w:iCs/>
          <w:sz w:val="23"/>
          <w:szCs w:val="23"/>
          <w:lang w:val="en-US"/>
        </w:rPr>
        <w:t xml:space="preserve">BSOAS </w:t>
      </w:r>
      <w:r w:rsidRPr="00D55D82">
        <w:rPr>
          <w:rFonts w:asciiTheme="majorBidi" w:hAnsiTheme="majorBidi" w:cstheme="majorBidi"/>
          <w:sz w:val="23"/>
          <w:szCs w:val="23"/>
          <w:lang w:val="en-US"/>
        </w:rPr>
        <w:t xml:space="preserve">57, no. 1, 1994, 193-207. </w:t>
      </w:r>
    </w:p>
    <w:p w14:paraId="1362C712" w14:textId="77777777" w:rsidR="00D55D82" w:rsidRPr="00D55D82" w:rsidRDefault="00D55D82" w:rsidP="00D55D82">
      <w:pPr>
        <w:pStyle w:val="Default"/>
        <w:rPr>
          <w:rFonts w:asciiTheme="majorBidi" w:hAnsiTheme="majorBidi" w:cstheme="majorBidi"/>
          <w:sz w:val="23"/>
          <w:szCs w:val="23"/>
          <w:lang w:val="en-US"/>
        </w:rPr>
      </w:pPr>
    </w:p>
    <w:p w14:paraId="4F7BA7B9" w14:textId="77777777" w:rsidR="00D55D82" w:rsidRPr="00D55D82" w:rsidRDefault="00D55D82" w:rsidP="00D55D82">
      <w:pPr>
        <w:pStyle w:val="Default"/>
        <w:spacing w:after="240"/>
        <w:rPr>
          <w:rFonts w:asciiTheme="majorBidi" w:hAnsiTheme="majorBidi" w:cstheme="majorBidi"/>
          <w:sz w:val="23"/>
          <w:szCs w:val="23"/>
          <w:lang w:val="en-US"/>
        </w:rPr>
      </w:pPr>
      <w:r w:rsidRPr="00D55D82">
        <w:rPr>
          <w:rFonts w:asciiTheme="majorBidi" w:hAnsiTheme="majorBidi" w:cstheme="majorBidi"/>
          <w:sz w:val="23"/>
          <w:szCs w:val="23"/>
          <w:lang w:val="en-US"/>
        </w:rPr>
        <w:t xml:space="preserve">Optional reading: </w:t>
      </w:r>
    </w:p>
    <w:p w14:paraId="55DE4829" w14:textId="77777777" w:rsidR="00D55D82" w:rsidRPr="00D55D82" w:rsidRDefault="00D55D82" w:rsidP="00D55D82">
      <w:pPr>
        <w:pStyle w:val="Default"/>
        <w:spacing w:after="240"/>
        <w:ind w:left="360" w:hanging="360"/>
        <w:rPr>
          <w:rFonts w:asciiTheme="majorBidi" w:hAnsiTheme="majorBidi" w:cstheme="majorBidi"/>
          <w:sz w:val="23"/>
          <w:szCs w:val="23"/>
          <w:lang w:val="en-US"/>
        </w:rPr>
      </w:pPr>
      <w:r w:rsidRPr="00D55D82">
        <w:rPr>
          <w:rFonts w:asciiTheme="majorBidi" w:hAnsiTheme="majorBidi" w:cstheme="majorBidi"/>
          <w:sz w:val="23"/>
          <w:szCs w:val="23"/>
          <w:lang w:val="en-US"/>
        </w:rPr>
        <w:t>• EALL/</w:t>
      </w:r>
      <w:proofErr w:type="spellStart"/>
      <w:r w:rsidRPr="00D55D82">
        <w:rPr>
          <w:rFonts w:asciiTheme="majorBidi" w:hAnsiTheme="majorBidi" w:cstheme="majorBidi"/>
          <w:sz w:val="23"/>
          <w:szCs w:val="23"/>
          <w:lang w:val="en-US"/>
        </w:rPr>
        <w:t>Shivtiel</w:t>
      </w:r>
      <w:proofErr w:type="spellEnd"/>
      <w:r w:rsidRPr="00D55D82">
        <w:rPr>
          <w:rFonts w:asciiTheme="majorBidi" w:hAnsiTheme="majorBidi" w:cstheme="majorBidi"/>
          <w:sz w:val="23"/>
          <w:szCs w:val="23"/>
          <w:lang w:val="en-US"/>
        </w:rPr>
        <w:t xml:space="preserve">, A.: “Paronomasia”, 538-541 </w:t>
      </w:r>
    </w:p>
    <w:p w14:paraId="4B833292" w14:textId="77777777" w:rsidR="00D55D82" w:rsidRPr="00D55D82" w:rsidRDefault="00D55D82" w:rsidP="00D55D82">
      <w:pPr>
        <w:pStyle w:val="Default"/>
        <w:rPr>
          <w:rFonts w:asciiTheme="majorBidi" w:hAnsiTheme="majorBidi" w:cstheme="majorBidi"/>
          <w:sz w:val="23"/>
          <w:szCs w:val="23"/>
          <w:lang w:val="en-US"/>
        </w:rPr>
      </w:pPr>
    </w:p>
    <w:p w14:paraId="671C4A54" w14:textId="77777777" w:rsidR="007276EF" w:rsidRDefault="00D55D82" w:rsidP="00D55D82">
      <w:pPr>
        <w:pStyle w:val="Default"/>
        <w:spacing w:before="100" w:after="100"/>
        <w:rPr>
          <w:rFonts w:asciiTheme="majorBidi" w:hAnsiTheme="majorBidi" w:cstheme="majorBidi"/>
          <w:b/>
          <w:bCs/>
          <w:sz w:val="23"/>
          <w:szCs w:val="23"/>
          <w:lang w:val="en-US"/>
        </w:rPr>
      </w:pPr>
      <w:r w:rsidRPr="00D55D82">
        <w:rPr>
          <w:rFonts w:asciiTheme="majorBidi" w:hAnsiTheme="majorBidi" w:cstheme="majorBidi"/>
          <w:b/>
          <w:bCs/>
          <w:sz w:val="23"/>
          <w:szCs w:val="23"/>
          <w:lang w:val="en-US"/>
        </w:rPr>
        <w:t>Examination form</w:t>
      </w:r>
      <w:r w:rsidR="007276EF">
        <w:rPr>
          <w:rFonts w:asciiTheme="majorBidi" w:hAnsiTheme="majorBidi" w:cstheme="majorBidi"/>
          <w:b/>
          <w:bCs/>
          <w:sz w:val="23"/>
          <w:szCs w:val="23"/>
          <w:lang w:val="en-US"/>
        </w:rPr>
        <w:t>:</w:t>
      </w:r>
    </w:p>
    <w:p w14:paraId="0337F78A" w14:textId="6A378FCE" w:rsidR="00D55D82" w:rsidRPr="00D55D82" w:rsidRDefault="00D55D82" w:rsidP="00D55D82">
      <w:pPr>
        <w:pStyle w:val="Default"/>
        <w:spacing w:before="100" w:after="100"/>
        <w:rPr>
          <w:rFonts w:asciiTheme="majorBidi" w:hAnsiTheme="majorBidi" w:cstheme="majorBidi"/>
          <w:sz w:val="23"/>
          <w:szCs w:val="23"/>
          <w:lang w:val="en-US"/>
        </w:rPr>
      </w:pPr>
      <w:r w:rsidRPr="00D55D82">
        <w:rPr>
          <w:rFonts w:asciiTheme="majorBidi" w:hAnsiTheme="majorBidi" w:cstheme="majorBidi"/>
          <w:sz w:val="23"/>
          <w:szCs w:val="23"/>
          <w:lang w:val="en-US"/>
        </w:rPr>
        <w:t>The student is given four days to write a paper of between eight and ten pages</w:t>
      </w:r>
      <w:r w:rsidRPr="00D55D82">
        <w:rPr>
          <w:rFonts w:asciiTheme="majorBidi" w:hAnsiTheme="majorBidi" w:cstheme="majorBidi"/>
          <w:sz w:val="16"/>
          <w:szCs w:val="16"/>
          <w:lang w:val="en-US"/>
        </w:rPr>
        <w:t xml:space="preserve"> </w:t>
      </w:r>
      <w:r w:rsidRPr="00D55D82">
        <w:rPr>
          <w:rFonts w:asciiTheme="majorBidi" w:hAnsiTheme="majorBidi" w:cstheme="majorBidi"/>
          <w:sz w:val="23"/>
          <w:szCs w:val="23"/>
          <w:lang w:val="en-US"/>
        </w:rPr>
        <w:t xml:space="preserve">in length on a subject, question or material chosen by the teacher. To qualify for the exam the students must complete 80% of the e-learning assignments. </w:t>
      </w:r>
    </w:p>
    <w:p w14:paraId="15201D36" w14:textId="77777777" w:rsidR="001D5BDC" w:rsidRPr="00D55D82" w:rsidRDefault="00D55D82" w:rsidP="00D55D82">
      <w:pPr>
        <w:rPr>
          <w:rFonts w:asciiTheme="majorBidi" w:hAnsiTheme="majorBidi" w:cstheme="majorBidi"/>
          <w:lang w:val="en-US"/>
        </w:rPr>
      </w:pPr>
      <w:r w:rsidRPr="00D55D82">
        <w:rPr>
          <w:rFonts w:asciiTheme="majorBidi" w:hAnsiTheme="majorBidi" w:cstheme="majorBidi"/>
          <w:sz w:val="23"/>
          <w:szCs w:val="23"/>
          <w:lang w:val="en-US"/>
        </w:rPr>
        <w:t xml:space="preserve">Papers written for both the free and the fixed examination must have the following form: * A translation into English of a passage of primary text in </w:t>
      </w:r>
      <w:proofErr w:type="spellStart"/>
      <w:r w:rsidRPr="00D55D82">
        <w:rPr>
          <w:rFonts w:asciiTheme="majorBidi" w:hAnsiTheme="majorBidi" w:cstheme="majorBidi"/>
          <w:sz w:val="23"/>
          <w:szCs w:val="23"/>
          <w:lang w:val="en-US"/>
        </w:rPr>
        <w:t>Qurʾānic</w:t>
      </w:r>
      <w:proofErr w:type="spellEnd"/>
      <w:r w:rsidRPr="00D55D82">
        <w:rPr>
          <w:rFonts w:asciiTheme="majorBidi" w:hAnsiTheme="majorBidi" w:cstheme="majorBidi"/>
          <w:sz w:val="23"/>
          <w:szCs w:val="23"/>
          <w:lang w:val="en-US"/>
        </w:rPr>
        <w:t xml:space="preserve"> Arabic. * A commentary on this text. * A discussion of a question of relevance to the theme of the course based both on the translated text and on other parts of the syllabus.</w:t>
      </w:r>
    </w:p>
    <w:sectPr w:rsidR="001D5BDC" w:rsidRPr="00D55D8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3C83" w14:textId="77777777" w:rsidR="009526D1" w:rsidRDefault="009526D1" w:rsidP="00C933A7">
      <w:pPr>
        <w:spacing w:after="0" w:line="240" w:lineRule="auto"/>
      </w:pPr>
      <w:r>
        <w:separator/>
      </w:r>
    </w:p>
  </w:endnote>
  <w:endnote w:type="continuationSeparator" w:id="0">
    <w:p w14:paraId="68EF6B83" w14:textId="77777777" w:rsidR="009526D1" w:rsidRDefault="009526D1" w:rsidP="00C9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157F" w14:textId="77777777" w:rsidR="009526D1" w:rsidRDefault="009526D1" w:rsidP="00C933A7">
      <w:pPr>
        <w:spacing w:after="0" w:line="240" w:lineRule="auto"/>
      </w:pPr>
      <w:r>
        <w:separator/>
      </w:r>
    </w:p>
  </w:footnote>
  <w:footnote w:type="continuationSeparator" w:id="0">
    <w:p w14:paraId="55CA4133" w14:textId="77777777" w:rsidR="009526D1" w:rsidRDefault="009526D1" w:rsidP="00C93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2B1B"/>
    <w:multiLevelType w:val="hybridMultilevel"/>
    <w:tmpl w:val="955A362E"/>
    <w:lvl w:ilvl="0" w:tplc="BC70CE1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66140A"/>
    <w:multiLevelType w:val="hybridMultilevel"/>
    <w:tmpl w:val="2EFCC120"/>
    <w:lvl w:ilvl="0" w:tplc="6E02B8B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B0F539E"/>
    <w:multiLevelType w:val="hybridMultilevel"/>
    <w:tmpl w:val="1CFA29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467964638">
    <w:abstractNumId w:val="2"/>
  </w:num>
  <w:num w:numId="2" w16cid:durableId="1650591816">
    <w:abstractNumId w:val="0"/>
  </w:num>
  <w:num w:numId="3" w16cid:durableId="59548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82"/>
    <w:rsid w:val="000001C4"/>
    <w:rsid w:val="00062762"/>
    <w:rsid w:val="0014201D"/>
    <w:rsid w:val="0016622E"/>
    <w:rsid w:val="00177342"/>
    <w:rsid w:val="00186211"/>
    <w:rsid w:val="001A6D46"/>
    <w:rsid w:val="001D5BDC"/>
    <w:rsid w:val="00204FEB"/>
    <w:rsid w:val="00215751"/>
    <w:rsid w:val="002344C8"/>
    <w:rsid w:val="00290DF6"/>
    <w:rsid w:val="002C2FB8"/>
    <w:rsid w:val="00324295"/>
    <w:rsid w:val="003401FE"/>
    <w:rsid w:val="003450D6"/>
    <w:rsid w:val="003D6227"/>
    <w:rsid w:val="00511320"/>
    <w:rsid w:val="005E6D65"/>
    <w:rsid w:val="005F3734"/>
    <w:rsid w:val="006466C7"/>
    <w:rsid w:val="006E0EA9"/>
    <w:rsid w:val="006E68C9"/>
    <w:rsid w:val="00725F4B"/>
    <w:rsid w:val="007276EF"/>
    <w:rsid w:val="007523BC"/>
    <w:rsid w:val="007C734E"/>
    <w:rsid w:val="0080626F"/>
    <w:rsid w:val="00891D30"/>
    <w:rsid w:val="00920666"/>
    <w:rsid w:val="00925645"/>
    <w:rsid w:val="009526D1"/>
    <w:rsid w:val="0097192B"/>
    <w:rsid w:val="00974263"/>
    <w:rsid w:val="00B05698"/>
    <w:rsid w:val="00B430D9"/>
    <w:rsid w:val="00B86B0E"/>
    <w:rsid w:val="00B94DCE"/>
    <w:rsid w:val="00BE0E4E"/>
    <w:rsid w:val="00C933A7"/>
    <w:rsid w:val="00C93CE0"/>
    <w:rsid w:val="00CB7E65"/>
    <w:rsid w:val="00D12F0B"/>
    <w:rsid w:val="00D437BA"/>
    <w:rsid w:val="00D53C9D"/>
    <w:rsid w:val="00D55D82"/>
    <w:rsid w:val="00DE0941"/>
    <w:rsid w:val="00E34A76"/>
    <w:rsid w:val="00E77678"/>
    <w:rsid w:val="00E85D06"/>
    <w:rsid w:val="00EB3B55"/>
    <w:rsid w:val="00EE5C38"/>
    <w:rsid w:val="00F060FC"/>
    <w:rsid w:val="00F9332B"/>
    <w:rsid w:val="00FF260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957C"/>
  <w15:chartTrackingRefBased/>
  <w15:docId w15:val="{9E64ABC4-8A23-4FA5-BE16-357CD8BD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5D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5D82"/>
    <w:rPr>
      <w:color w:val="0563C1" w:themeColor="hyperlink"/>
      <w:u w:val="single"/>
    </w:rPr>
  </w:style>
  <w:style w:type="paragraph" w:styleId="FootnoteText">
    <w:name w:val="footnote text"/>
    <w:basedOn w:val="Normal"/>
    <w:link w:val="FootnoteTextChar"/>
    <w:uiPriority w:val="99"/>
    <w:semiHidden/>
    <w:unhideWhenUsed/>
    <w:rsid w:val="00C93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3A7"/>
    <w:rPr>
      <w:sz w:val="20"/>
      <w:szCs w:val="20"/>
    </w:rPr>
  </w:style>
  <w:style w:type="character" w:styleId="FootnoteReference">
    <w:name w:val="footnote reference"/>
    <w:basedOn w:val="DefaultParagraphFont"/>
    <w:uiPriority w:val="99"/>
    <w:semiHidden/>
    <w:unhideWhenUsed/>
    <w:rsid w:val="00C93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1230</Words>
  <Characters>7017</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SUND - KU</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Martin Gustaf Ehrensvärd</cp:lastModifiedBy>
  <cp:revision>7</cp:revision>
  <cp:lastPrinted>2024-05-22T16:41:00Z</cp:lastPrinted>
  <dcterms:created xsi:type="dcterms:W3CDTF">2025-05-29T07:01:00Z</dcterms:created>
  <dcterms:modified xsi:type="dcterms:W3CDTF">2026-05-26T09:19:00Z</dcterms:modified>
</cp:coreProperties>
</file>